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FC" w:rsidRDefault="005F4062" w:rsidP="009321A3">
      <w:pPr>
        <w:adjustRightInd w:val="0"/>
        <w:snapToGrid w:val="0"/>
        <w:spacing w:afterLines="50" w:line="500" w:lineRule="exact"/>
        <w:rPr>
          <w:rFonts w:eastAsia="方正小标宋简体"/>
          <w:sz w:val="36"/>
          <w:szCs w:val="30"/>
        </w:rPr>
      </w:pPr>
      <w:r>
        <w:rPr>
          <w:rFonts w:asciiTheme="minorEastAsia" w:hAnsiTheme="minorEastAsia" w:hint="eastAsia"/>
          <w:sz w:val="28"/>
          <w:szCs w:val="28"/>
        </w:rPr>
        <w:t>附</w:t>
      </w:r>
      <w:r w:rsidR="00941446">
        <w:rPr>
          <w:rFonts w:asciiTheme="minorEastAsia" w:hAnsiTheme="minorEastAsia" w:hint="eastAsia"/>
          <w:sz w:val="28"/>
          <w:szCs w:val="28"/>
        </w:rPr>
        <w:t>件</w:t>
      </w:r>
      <w:r w:rsidR="004143B5">
        <w:rPr>
          <w:rFonts w:asciiTheme="minorEastAsia" w:hAnsiTheme="minorEastAsia" w:hint="eastAsia"/>
          <w:sz w:val="28"/>
          <w:szCs w:val="28"/>
        </w:rPr>
        <w:t>1</w:t>
      </w:r>
      <w:r>
        <w:rPr>
          <w:rFonts w:asciiTheme="minorEastAsia" w:hAnsiTheme="minorEastAsia" w:hint="eastAsia"/>
          <w:sz w:val="28"/>
          <w:szCs w:val="28"/>
        </w:rPr>
        <w:t>：</w:t>
      </w:r>
      <w:r w:rsidR="000B1BFC">
        <w:rPr>
          <w:rFonts w:asciiTheme="minorEastAsia" w:hAnsiTheme="minorEastAsia" w:hint="eastAsia"/>
          <w:sz w:val="28"/>
          <w:szCs w:val="28"/>
        </w:rPr>
        <w:t xml:space="preserve">                      </w:t>
      </w:r>
      <w:r w:rsidR="000B1BFC">
        <w:rPr>
          <w:rFonts w:eastAsia="方正小标宋简体"/>
          <w:b/>
          <w:sz w:val="36"/>
          <w:szCs w:val="30"/>
        </w:rPr>
        <w:t>高</w:t>
      </w:r>
      <w:r w:rsidR="000B1BFC">
        <w:rPr>
          <w:rFonts w:eastAsia="方正小标宋简体" w:hint="eastAsia"/>
          <w:b/>
          <w:sz w:val="36"/>
          <w:szCs w:val="30"/>
        </w:rPr>
        <w:t>等</w:t>
      </w:r>
      <w:r w:rsidR="000B1BFC">
        <w:rPr>
          <w:rFonts w:eastAsia="方正小标宋简体"/>
          <w:b/>
          <w:sz w:val="36"/>
          <w:szCs w:val="30"/>
        </w:rPr>
        <w:t>学校实验室安全检查项目</w:t>
      </w:r>
      <w:r w:rsidR="000B1BFC">
        <w:rPr>
          <w:rFonts w:eastAsia="方正小标宋简体" w:hint="eastAsia"/>
          <w:b/>
          <w:sz w:val="36"/>
          <w:szCs w:val="30"/>
        </w:rPr>
        <w:t>表</w:t>
      </w:r>
      <w:r w:rsidR="000B1BFC">
        <w:rPr>
          <w:rFonts w:eastAsia="方正小标宋简体"/>
          <w:b/>
          <w:sz w:val="36"/>
          <w:szCs w:val="30"/>
        </w:rPr>
        <w:t>（</w:t>
      </w:r>
      <w:r w:rsidR="000B1BFC">
        <w:rPr>
          <w:rFonts w:eastAsia="方正小标宋简体"/>
          <w:b/>
          <w:sz w:val="36"/>
          <w:szCs w:val="30"/>
        </w:rPr>
        <w:t>2019</w:t>
      </w:r>
      <w:r w:rsidR="000B1BFC">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374"/>
        <w:gridCol w:w="2829"/>
      </w:tblGrid>
      <w:tr w:rsidR="000B1BFC" w:rsidTr="006C1074">
        <w:trPr>
          <w:trHeight w:val="643"/>
          <w:tblHeader/>
          <w:jc w:val="center"/>
        </w:trPr>
        <w:tc>
          <w:tcPr>
            <w:tcW w:w="848" w:type="dxa"/>
            <w:shd w:val="clear" w:color="auto" w:fill="auto"/>
            <w:tcMar>
              <w:left w:w="45" w:type="dxa"/>
              <w:right w:w="45" w:type="dxa"/>
            </w:tcMar>
            <w:vAlign w:val="center"/>
          </w:tcPr>
          <w:p w:rsidR="000B1BFC" w:rsidRDefault="000B1BFC" w:rsidP="006C1074">
            <w:pPr>
              <w:spacing w:line="300" w:lineRule="exact"/>
              <w:jc w:val="center"/>
              <w:rPr>
                <w:rFonts w:eastAsia="黑体"/>
                <w:b/>
                <w:bCs/>
                <w:kern w:val="0"/>
                <w:szCs w:val="21"/>
              </w:rPr>
            </w:pPr>
            <w:r>
              <w:rPr>
                <w:rFonts w:eastAsia="黑体"/>
                <w:b/>
                <w:bCs/>
                <w:kern w:val="0"/>
                <w:szCs w:val="21"/>
              </w:rPr>
              <w:t>序号</w:t>
            </w:r>
          </w:p>
        </w:tc>
        <w:tc>
          <w:tcPr>
            <w:tcW w:w="3820" w:type="dxa"/>
            <w:shd w:val="clear" w:color="auto" w:fill="auto"/>
            <w:tcMar>
              <w:left w:w="45" w:type="dxa"/>
              <w:right w:w="45" w:type="dxa"/>
            </w:tcMar>
            <w:vAlign w:val="center"/>
          </w:tcPr>
          <w:p w:rsidR="000B1BFC" w:rsidRDefault="000B1BFC" w:rsidP="006C1074">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shd w:val="clear" w:color="auto" w:fill="auto"/>
            <w:tcMar>
              <w:left w:w="45" w:type="dxa"/>
              <w:right w:w="45" w:type="dxa"/>
            </w:tcMar>
            <w:vAlign w:val="center"/>
          </w:tcPr>
          <w:p w:rsidR="000B1BFC" w:rsidRDefault="000B1BFC" w:rsidP="006C1074">
            <w:pPr>
              <w:spacing w:line="300" w:lineRule="exact"/>
              <w:jc w:val="center"/>
              <w:rPr>
                <w:rFonts w:eastAsia="黑体"/>
                <w:b/>
                <w:bCs/>
                <w:kern w:val="0"/>
                <w:szCs w:val="21"/>
              </w:rPr>
            </w:pPr>
            <w:r>
              <w:rPr>
                <w:rFonts w:eastAsia="黑体" w:hint="eastAsia"/>
                <w:b/>
                <w:bCs/>
                <w:kern w:val="0"/>
                <w:szCs w:val="21"/>
              </w:rPr>
              <w:t>检查要点</w:t>
            </w:r>
          </w:p>
        </w:tc>
        <w:tc>
          <w:tcPr>
            <w:tcW w:w="2829" w:type="dxa"/>
            <w:shd w:val="clear" w:color="auto" w:fill="auto"/>
            <w:tcMar>
              <w:left w:w="45" w:type="dxa"/>
              <w:right w:w="45" w:type="dxa"/>
            </w:tcMar>
            <w:vAlign w:val="center"/>
          </w:tcPr>
          <w:p w:rsidR="000B1BFC" w:rsidRDefault="000B1BFC" w:rsidP="006C1074">
            <w:pPr>
              <w:spacing w:line="300" w:lineRule="exact"/>
              <w:jc w:val="center"/>
              <w:rPr>
                <w:rFonts w:eastAsia="黑体"/>
                <w:b/>
                <w:bCs/>
                <w:kern w:val="0"/>
                <w:szCs w:val="21"/>
              </w:rPr>
            </w:pPr>
            <w:r>
              <w:rPr>
                <w:rFonts w:eastAsia="黑体" w:hint="eastAsia"/>
                <w:b/>
                <w:bCs/>
                <w:kern w:val="0"/>
                <w:szCs w:val="21"/>
              </w:rPr>
              <w:t>情况记录</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rPr>
                <w:b/>
                <w:kern w:val="0"/>
                <w:szCs w:val="21"/>
              </w:rPr>
            </w:pPr>
            <w:r>
              <w:rPr>
                <w:rFonts w:hint="eastAsia"/>
                <w:b/>
                <w:kern w:val="0"/>
                <w:szCs w:val="21"/>
              </w:rPr>
              <w:t>责任体系</w:t>
            </w:r>
          </w:p>
        </w:tc>
      </w:tr>
      <w:tr w:rsidR="000B1BFC" w:rsidTr="006C1074">
        <w:trPr>
          <w:trHeight w:val="90"/>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rPr>
                <w:b/>
                <w:kern w:val="0"/>
                <w:szCs w:val="21"/>
              </w:rPr>
            </w:pPr>
            <w:r>
              <w:rPr>
                <w:b/>
                <w:kern w:val="0"/>
                <w:szCs w:val="21"/>
              </w:rPr>
              <w:t>学校层面安全责任体系</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kern w:val="0"/>
                <w:szCs w:val="21"/>
              </w:rPr>
              <w:t>有校级实验室安全工作领导机构</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1.1.</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w:t>
            </w:r>
            <w:r>
              <w:rPr>
                <w:kern w:val="0"/>
                <w:szCs w:val="21"/>
              </w:rPr>
              <w:t>章</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rPr>
                <w:b/>
                <w:kern w:val="0"/>
                <w:szCs w:val="21"/>
              </w:rPr>
            </w:pPr>
            <w:r>
              <w:rPr>
                <w:b/>
                <w:kern w:val="0"/>
                <w:szCs w:val="21"/>
              </w:rPr>
              <w:t>院系层面安全责任体系</w:t>
            </w:r>
          </w:p>
        </w:tc>
      </w:tr>
      <w:tr w:rsidR="000B1BFC" w:rsidTr="006C1074">
        <w:trPr>
          <w:trHeight w:val="90"/>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1.2.1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.2.2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1.2.3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1.2.4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b/>
                <w:bCs/>
                <w:kern w:val="0"/>
                <w:szCs w:val="21"/>
              </w:rPr>
              <w:t>1.3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rPr>
                <w:b/>
                <w:bCs/>
                <w:kern w:val="0"/>
                <w:szCs w:val="21"/>
              </w:rPr>
            </w:pPr>
            <w:r>
              <w:rPr>
                <w:b/>
                <w:bCs/>
                <w:kern w:val="0"/>
                <w:szCs w:val="21"/>
              </w:rPr>
              <w:t>经费保障</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1.3.1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学校每年有实验室安全常规经费预算</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查财务</w:t>
            </w:r>
            <w:r>
              <w:rPr>
                <w:bCs/>
                <w:kern w:val="0"/>
                <w:szCs w:val="21"/>
              </w:rPr>
              <w:t>证据</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查财务证据</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bCs/>
                <w:kern w:val="0"/>
                <w:szCs w:val="21"/>
              </w:rPr>
              <w:t>查财务证据</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b/>
                <w:bCs/>
                <w:kern w:val="0"/>
                <w:szCs w:val="21"/>
              </w:rPr>
            </w:pPr>
            <w:r>
              <w:rPr>
                <w:rFonts w:hint="eastAsia"/>
                <w:b/>
                <w:bCs/>
                <w:kern w:val="0"/>
                <w:szCs w:val="21"/>
              </w:rPr>
              <w:lastRenderedPageBreak/>
              <w:t>1</w:t>
            </w:r>
            <w:r>
              <w:rPr>
                <w:b/>
                <w:bCs/>
                <w:kern w:val="0"/>
                <w:szCs w:val="21"/>
              </w:rPr>
              <w:t>.4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rPr>
                <w:b/>
                <w:bCs/>
                <w:kern w:val="0"/>
                <w:szCs w:val="21"/>
              </w:rPr>
            </w:pPr>
            <w:r>
              <w:rPr>
                <w:rFonts w:hint="eastAsia"/>
                <w:b/>
                <w:bCs/>
                <w:kern w:val="0"/>
                <w:szCs w:val="21"/>
              </w:rPr>
              <w:t>队伍建设</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.4.1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建议</w:t>
            </w: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1.4.2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各级主管实验室安全的负责人到岗一年内须接受实验室安全管理培训</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其它</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采用信息化手段管理实验室安全</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逐步建立和完善</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建立完整的实验室安全工作档案</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407"/>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规章制度</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2.1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实验室安全管理制度</w:t>
            </w:r>
          </w:p>
        </w:tc>
      </w:tr>
      <w:tr w:rsidR="000B1BFC" w:rsidTr="006C1074">
        <w:trPr>
          <w:trHeight w:val="585"/>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bCs/>
                <w:kern w:val="0"/>
                <w:szCs w:val="21"/>
              </w:rPr>
              <w:t>2.1.1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有校级实验室安全管理办法</w:t>
            </w:r>
          </w:p>
        </w:tc>
        <w:tc>
          <w:tcPr>
            <w:tcW w:w="7374" w:type="dxa"/>
            <w:vMerge w:val="restart"/>
            <w:shd w:val="clear" w:color="auto" w:fill="auto"/>
            <w:tcMar>
              <w:left w:w="45" w:type="dxa"/>
              <w:right w:w="45" w:type="dxa"/>
            </w:tcMar>
            <w:vAlign w:val="center"/>
          </w:tcPr>
          <w:p w:rsidR="000B1BFC" w:rsidRDefault="000B1BFC" w:rsidP="006C1074">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491"/>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2</w:t>
            </w:r>
            <w:r>
              <w:rPr>
                <w:bCs/>
                <w:kern w:val="0"/>
                <w:szCs w:val="21"/>
              </w:rPr>
              <w:t>.1.2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有各类实验室安全管理细则</w:t>
            </w:r>
          </w:p>
        </w:tc>
        <w:tc>
          <w:tcPr>
            <w:tcW w:w="7374" w:type="dxa"/>
            <w:vMerge/>
            <w:shd w:val="clear" w:color="auto" w:fill="auto"/>
            <w:tcMar>
              <w:left w:w="45" w:type="dxa"/>
              <w:right w:w="45" w:type="dxa"/>
            </w:tcMar>
            <w:vAlign w:val="center"/>
          </w:tcPr>
          <w:p w:rsidR="000B1BFC" w:rsidRDefault="000B1BFC" w:rsidP="006C1074">
            <w:pPr>
              <w:spacing w:line="300" w:lineRule="exact"/>
              <w:rPr>
                <w:bCs/>
                <w:kern w:val="0"/>
                <w:szCs w:val="21"/>
              </w:rPr>
            </w:pP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491"/>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2</w:t>
            </w:r>
            <w:r>
              <w:rPr>
                <w:bCs/>
                <w:kern w:val="0"/>
                <w:szCs w:val="21"/>
              </w:rPr>
              <w:t>.1.3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有各类院系级实验安全管理制度</w:t>
            </w:r>
          </w:p>
        </w:tc>
        <w:tc>
          <w:tcPr>
            <w:tcW w:w="7374" w:type="dxa"/>
            <w:shd w:val="clear" w:color="auto" w:fill="auto"/>
            <w:tcMar>
              <w:left w:w="45" w:type="dxa"/>
              <w:right w:w="45" w:type="dxa"/>
            </w:tcMar>
            <w:vAlign w:val="center"/>
          </w:tcPr>
          <w:p w:rsidR="000B1BFC" w:rsidRDefault="000B1BFC" w:rsidP="006C1074">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lastRenderedPageBreak/>
              <w:t>3.1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安全教育</w:t>
            </w:r>
            <w:r>
              <w:rPr>
                <w:b/>
                <w:kern w:val="0"/>
                <w:szCs w:val="21"/>
              </w:rPr>
              <w:t>活动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逐步开设实验室安全必修课或选修课</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对于化学、生物、辐射等高风险的相关院系和专业，要逐步开设有学分的安全教育必修课，鼓励其他专业开设安全选修课</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w:t>
            </w:r>
          </w:p>
        </w:tc>
        <w:tc>
          <w:tcPr>
            <w:tcW w:w="7374" w:type="dxa"/>
            <w:shd w:val="clear" w:color="auto" w:fill="auto"/>
            <w:tcMar>
              <w:left w:w="45" w:type="dxa"/>
              <w:right w:w="45" w:type="dxa"/>
            </w:tcMar>
            <w:vAlign w:val="center"/>
          </w:tcPr>
          <w:p w:rsidR="000B1BFC" w:rsidRDefault="000B1BFC" w:rsidP="006C1074">
            <w:pPr>
              <w:widowControl/>
              <w:spacing w:line="300" w:lineRule="exact"/>
              <w:rPr>
                <w:bCs/>
                <w:kern w:val="0"/>
                <w:szCs w:val="21"/>
              </w:rPr>
            </w:pPr>
            <w:r>
              <w:rPr>
                <w:rFonts w:hint="eastAsia"/>
                <w:bCs/>
                <w:kern w:val="0"/>
                <w:szCs w:val="21"/>
              </w:rPr>
              <w:t>查看历年存档记录，包含培训时间、内容、人数、通知、会场照片等</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3.1.3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shd w:val="clear" w:color="auto" w:fill="auto"/>
            <w:tcMar>
              <w:left w:w="45" w:type="dxa"/>
              <w:right w:w="45" w:type="dxa"/>
            </w:tcMar>
            <w:vAlign w:val="center"/>
          </w:tcPr>
          <w:p w:rsidR="000B1BFC" w:rsidRDefault="000B1BFC" w:rsidP="006C1074">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3.1.4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开展结合学科特点的应急演练</w:t>
            </w:r>
          </w:p>
        </w:tc>
        <w:tc>
          <w:tcPr>
            <w:tcW w:w="7374"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安全文化</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建设适合学校特色的安全文化</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编印</w:t>
            </w:r>
            <w:r>
              <w:rPr>
                <w:rFonts w:hint="eastAsia"/>
                <w:kern w:val="0"/>
                <w:szCs w:val="21"/>
              </w:rPr>
              <w:t>学校</w:t>
            </w:r>
            <w:r>
              <w:rPr>
                <w:kern w:val="0"/>
                <w:szCs w:val="21"/>
              </w:rPr>
              <w:t>实验室安全手册</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r>
              <w:rPr>
                <w:rFonts w:hint="eastAsia"/>
                <w:kern w:val="0"/>
                <w:szCs w:val="21"/>
              </w:rPr>
              <w:t>方式，加强安全宣传</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b/>
                <w:bCs/>
                <w:kern w:val="0"/>
                <w:szCs w:val="21"/>
              </w:rPr>
              <w:t>安全检查</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4.1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b/>
                <w:bCs/>
                <w:kern w:val="0"/>
                <w:szCs w:val="21"/>
              </w:rPr>
              <w:t>危险源辨识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bCs/>
                <w:kern w:val="0"/>
                <w:szCs w:val="21"/>
              </w:rPr>
              <w:t>学校、学院层面</w:t>
            </w:r>
            <w:r>
              <w:rPr>
                <w:rFonts w:hint="eastAsia"/>
                <w:bCs/>
                <w:kern w:val="0"/>
                <w:szCs w:val="21"/>
              </w:rPr>
              <w:t>建立危险源分布清单</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涉及剧毒品、病原微生物、放射性同位素、强磁等高危场所，有显著明确的警示标识</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4.1.3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由实验室建立，报</w:t>
            </w:r>
            <w:r>
              <w:rPr>
                <w:bCs/>
                <w:kern w:val="0"/>
                <w:szCs w:val="21"/>
              </w:rPr>
              <w:t>院系备案</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4.2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b/>
                <w:bCs/>
                <w:kern w:val="0"/>
                <w:szCs w:val="21"/>
              </w:rPr>
              <w:t>安全检查</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4</w:t>
            </w:r>
            <w:r>
              <w:rPr>
                <w:kern w:val="0"/>
                <w:szCs w:val="21"/>
              </w:rPr>
              <w:t>.</w:t>
            </w:r>
            <w:r>
              <w:rPr>
                <w:rFonts w:hint="eastAsia"/>
                <w:kern w:val="0"/>
                <w:szCs w:val="21"/>
              </w:rPr>
              <w:t>2.1</w:t>
            </w:r>
          </w:p>
        </w:tc>
        <w:tc>
          <w:tcPr>
            <w:tcW w:w="3820"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建议每年不少于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4.2.2</w:t>
            </w:r>
          </w:p>
        </w:tc>
        <w:tc>
          <w:tcPr>
            <w:tcW w:w="3820"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rFonts w:hint="eastAsia"/>
                <w:kern w:val="0"/>
                <w:szCs w:val="21"/>
              </w:rPr>
              <w:t>院系层面开展定期检查</w:t>
            </w:r>
          </w:p>
        </w:tc>
        <w:tc>
          <w:tcPr>
            <w:tcW w:w="7374" w:type="dxa"/>
            <w:shd w:val="clear" w:color="auto" w:fill="auto"/>
            <w:tcMar>
              <w:left w:w="45" w:type="dxa"/>
              <w:right w:w="45" w:type="dxa"/>
            </w:tcMar>
            <w:vAlign w:val="center"/>
          </w:tcPr>
          <w:p w:rsidR="000B1BFC" w:rsidRDefault="000B1BFC" w:rsidP="006C1074">
            <w:pPr>
              <w:spacing w:line="300" w:lineRule="exact"/>
              <w:jc w:val="left"/>
              <w:rPr>
                <w:bCs/>
                <w:kern w:val="0"/>
                <w:szCs w:val="21"/>
              </w:rPr>
            </w:pPr>
            <w:r>
              <w:rPr>
                <w:rFonts w:hint="eastAsia"/>
                <w:kern w:val="0"/>
                <w:szCs w:val="21"/>
              </w:rPr>
              <w:t>建议每月不少于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针对高危实验物品开展专项检查</w:t>
            </w:r>
          </w:p>
        </w:tc>
        <w:tc>
          <w:tcPr>
            <w:tcW w:w="7374" w:type="dxa"/>
            <w:shd w:val="clear" w:color="auto" w:fill="auto"/>
            <w:tcMar>
              <w:left w:w="45" w:type="dxa"/>
              <w:right w:w="45" w:type="dxa"/>
            </w:tcMar>
            <w:vAlign w:val="center"/>
          </w:tcPr>
          <w:p w:rsidR="000B1BFC" w:rsidRDefault="000B1BFC" w:rsidP="006C1074">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4.2.4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w:t>
            </w:r>
            <w:proofErr w:type="gramStart"/>
            <w:r>
              <w:rPr>
                <w:rFonts w:hint="eastAsia"/>
                <w:kern w:val="0"/>
                <w:szCs w:val="21"/>
              </w:rPr>
              <w:t>值日台</w:t>
            </w:r>
            <w:proofErr w:type="gramEnd"/>
            <w:r>
              <w:rPr>
                <w:rFonts w:hint="eastAsia"/>
                <w:kern w:val="0"/>
                <w:szCs w:val="21"/>
              </w:rPr>
              <w:t>账</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w:t>
            </w:r>
            <w:r>
              <w:rPr>
                <w:kern w:val="0"/>
                <w:szCs w:val="21"/>
              </w:rPr>
              <w:t>.2.5</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4.3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b/>
                <w:bCs/>
                <w:kern w:val="0"/>
                <w:szCs w:val="21"/>
              </w:rPr>
              <w:t>安全隐患整改</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w:t>
            </w:r>
            <w:r>
              <w:rPr>
                <w:kern w:val="0"/>
                <w:szCs w:val="21"/>
              </w:rPr>
              <w:t>.3.1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；修改</w:t>
            </w:r>
            <w:r>
              <w:rPr>
                <w:bCs/>
                <w:kern w:val="0"/>
                <w:szCs w:val="21"/>
              </w:rPr>
              <w:t>资料规范存档</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w:t>
            </w:r>
            <w:r>
              <w:rPr>
                <w:kern w:val="0"/>
                <w:szCs w:val="21"/>
              </w:rPr>
              <w:t>.3.2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院系应对问题隐患的进行及时</w:t>
            </w:r>
            <w:r>
              <w:rPr>
                <w:kern w:val="0"/>
                <w:szCs w:val="21"/>
              </w:rPr>
              <w:t>整改</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4.4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安全报告</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4.4.</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院系有安全检查及整改记录</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5</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实验</w:t>
            </w:r>
            <w:r>
              <w:rPr>
                <w:b/>
                <w:kern w:val="0"/>
                <w:szCs w:val="21"/>
              </w:rPr>
              <w:t>场所</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b/>
                <w:kern w:val="0"/>
                <w:szCs w:val="21"/>
              </w:rPr>
            </w:pPr>
            <w:r>
              <w:rPr>
                <w:b/>
                <w:kern w:val="0"/>
                <w:szCs w:val="21"/>
              </w:rPr>
              <w:t>5.1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场所</w:t>
            </w:r>
            <w:r>
              <w:rPr>
                <w:rFonts w:hint="eastAsia"/>
                <w:b/>
                <w:kern w:val="0"/>
                <w:szCs w:val="21"/>
              </w:rPr>
              <w:t>环境</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szCs w:val="21"/>
              </w:rPr>
            </w:pPr>
            <w:r>
              <w:rPr>
                <w:rFonts w:hint="eastAsia"/>
                <w:szCs w:val="21"/>
              </w:rPr>
              <w:t>有危险源的实验场所应张贴安全信息牌</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eastAsia="等线"/>
                <w:szCs w:val="21"/>
              </w:rPr>
              <w:t>5.1.2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szCs w:val="21"/>
              </w:rPr>
              <w:t>实验场所应具备合理的安全空间布局</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建议超过</w:t>
            </w:r>
            <w:r>
              <w:rPr>
                <w:szCs w:val="21"/>
              </w:rPr>
              <w:t>200</w:t>
            </w:r>
            <w:r>
              <w:rPr>
                <w:rFonts w:hint="eastAsia"/>
                <w:szCs w:val="21"/>
              </w:rPr>
              <w:t>平方米的实验楼层具有至少两处紧急出口，</w:t>
            </w:r>
            <w:r>
              <w:rPr>
                <w:szCs w:val="21"/>
              </w:rPr>
              <w:t>75</w:t>
            </w:r>
            <w:r>
              <w:rPr>
                <w:rFonts w:hint="eastAsia"/>
                <w:szCs w:val="21"/>
              </w:rPr>
              <w:t>平方米以上实验室要有两扇门；实验楼大走廊保证留有大于</w:t>
            </w:r>
            <w:r>
              <w:rPr>
                <w:rFonts w:hint="eastAsia"/>
                <w:szCs w:val="21"/>
              </w:rPr>
              <w:t>2.0</w:t>
            </w:r>
            <w:r>
              <w:rPr>
                <w:rFonts w:hint="eastAsia"/>
                <w:szCs w:val="21"/>
              </w:rPr>
              <w:t>米净宽的消防通道；实验室</w:t>
            </w:r>
            <w:proofErr w:type="gramStart"/>
            <w:r>
              <w:rPr>
                <w:szCs w:val="21"/>
              </w:rPr>
              <w:t>操作区</w:t>
            </w:r>
            <w:proofErr w:type="gramEnd"/>
            <w:r>
              <w:rPr>
                <w:szCs w:val="21"/>
              </w:rPr>
              <w:t>层高不低于</w:t>
            </w:r>
            <w:r>
              <w:rPr>
                <w:rFonts w:hint="eastAsia"/>
                <w:szCs w:val="21"/>
              </w:rPr>
              <w:t>2</w:t>
            </w:r>
            <w:r>
              <w:rPr>
                <w:rFonts w:hint="eastAsia"/>
                <w:szCs w:val="21"/>
              </w:rPr>
              <w:t>米；理工农</w:t>
            </w:r>
            <w:proofErr w:type="gramStart"/>
            <w:r>
              <w:rPr>
                <w:rFonts w:hint="eastAsia"/>
                <w:szCs w:val="21"/>
              </w:rPr>
              <w:t>医</w:t>
            </w:r>
            <w:proofErr w:type="gramEnd"/>
            <w:r>
              <w:rPr>
                <w:rFonts w:hint="eastAsia"/>
                <w:szCs w:val="21"/>
              </w:rPr>
              <w:t>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rFonts w:eastAsia="等线"/>
                <w:szCs w:val="21"/>
              </w:rPr>
              <w:lastRenderedPageBreak/>
              <w:t>5.1.3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szCs w:val="21"/>
              </w:rPr>
              <w:t>实验室消防通道通畅，公共场所不堆放仪器和物品</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rFonts w:eastAsia="等线"/>
                <w:szCs w:val="21"/>
              </w:rPr>
              <w:t>5.1.4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szCs w:val="21"/>
              </w:rPr>
              <w:t>实验室建设和装修应符合消防安全要求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实验操作台应选用合格的防火、防腐材料；仪器设备安装符合建筑物承重载荷；有可燃气体的实验室不建议设吊顶；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rFonts w:eastAsia="等线"/>
                <w:szCs w:val="21"/>
              </w:rPr>
            </w:pPr>
            <w:r>
              <w:rPr>
                <w:rFonts w:eastAsia="等线"/>
                <w:szCs w:val="21"/>
              </w:rPr>
              <w:t>5.1.</w:t>
            </w:r>
            <w:r>
              <w:rPr>
                <w:rFonts w:eastAsia="等线" w:hint="eastAsia"/>
                <w:szCs w:val="21"/>
              </w:rPr>
              <w:t>5</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szCs w:val="21"/>
              </w:rPr>
            </w:pPr>
            <w:r>
              <w:rPr>
                <w:rFonts w:hint="eastAsia"/>
                <w:szCs w:val="21"/>
              </w:rPr>
              <w:t>实验室所有房间均须配有应急备用钥匙</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0B1BFC" w:rsidRDefault="000B1BFC" w:rsidP="006C1074">
            <w:pPr>
              <w:widowControl/>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rFonts w:eastAsia="等线"/>
                <w:szCs w:val="21"/>
              </w:rPr>
              <w:t>5.1.6</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szCs w:val="21"/>
              </w:rPr>
              <w:t>实验设备需做好振动和噪音的屏蔽</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容易产生振动的设备，需考虑振动源的屏蔽；</w:t>
            </w:r>
            <w:proofErr w:type="gramStart"/>
            <w:r>
              <w:rPr>
                <w:rFonts w:hint="eastAsia"/>
                <w:szCs w:val="21"/>
              </w:rPr>
              <w:t>易对外</w:t>
            </w:r>
            <w:proofErr w:type="gramEnd"/>
            <w:r>
              <w:rPr>
                <w:rFonts w:hint="eastAsia"/>
                <w:szCs w:val="21"/>
              </w:rPr>
              <w:t>产生磁场或易受磁场干扰的设备，需做好磁屏蔽；实验室噪声一般低于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rFonts w:eastAsia="等线"/>
                <w:kern w:val="0"/>
                <w:szCs w:val="21"/>
              </w:rPr>
            </w:pPr>
            <w:r>
              <w:rPr>
                <w:rFonts w:eastAsia="等线"/>
                <w:szCs w:val="21"/>
              </w:rPr>
              <w:t>5.1.7</w:t>
            </w:r>
          </w:p>
        </w:tc>
        <w:tc>
          <w:tcPr>
            <w:tcW w:w="3820" w:type="dxa"/>
            <w:shd w:val="clear" w:color="auto" w:fill="auto"/>
            <w:tcMar>
              <w:left w:w="45" w:type="dxa"/>
              <w:right w:w="45" w:type="dxa"/>
            </w:tcMar>
            <w:vAlign w:val="center"/>
          </w:tcPr>
          <w:p w:rsidR="000B1BFC" w:rsidRDefault="000B1BFC" w:rsidP="006C1074">
            <w:pPr>
              <w:spacing w:line="300" w:lineRule="exact"/>
              <w:jc w:val="left"/>
              <w:rPr>
                <w:rFonts w:ascii="宋体" w:hAnsi="宋体" w:cs="宋体"/>
                <w:szCs w:val="21"/>
              </w:rPr>
            </w:pPr>
            <w:r>
              <w:rPr>
                <w:rFonts w:hint="eastAsia"/>
                <w:szCs w:val="21"/>
              </w:rPr>
              <w:t>实验室水、电、气管线布局合理，安装施工规范</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高温、明火设备放置位置与可燃气体管道有安全间隔距离</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b/>
                <w:kern w:val="0"/>
                <w:szCs w:val="21"/>
              </w:rPr>
            </w:pPr>
            <w:r>
              <w:rPr>
                <w:b/>
                <w:kern w:val="0"/>
                <w:szCs w:val="21"/>
              </w:rPr>
              <w:t>5.2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卫生与</w:t>
            </w:r>
            <w:r>
              <w:rPr>
                <w:rFonts w:hint="eastAsia"/>
                <w:b/>
                <w:kern w:val="0"/>
                <w:szCs w:val="21"/>
              </w:rPr>
              <w:t>日常管理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shd w:val="clear" w:color="auto" w:fill="auto"/>
            <w:tcMar>
              <w:left w:w="45" w:type="dxa"/>
              <w:right w:w="45" w:type="dxa"/>
            </w:tcMar>
            <w:vAlign w:val="center"/>
          </w:tcPr>
          <w:p w:rsidR="000B1BFC" w:rsidRDefault="000B1BFC" w:rsidP="006C1074">
            <w:pPr>
              <w:spacing w:line="300" w:lineRule="exact"/>
              <w:rPr>
                <w:rFonts w:ascii="宋体" w:hAnsi="宋体" w:cs="宋体"/>
                <w:szCs w:val="21"/>
              </w:rPr>
            </w:pPr>
            <w:r>
              <w:rPr>
                <w:rFonts w:hint="eastAsia"/>
                <w:szCs w:val="21"/>
              </w:rPr>
              <w:t>实验室分区应相对独立，布局合理</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shd w:val="clear" w:color="auto" w:fill="auto"/>
            <w:tcMar>
              <w:left w:w="45" w:type="dxa"/>
              <w:right w:w="45" w:type="dxa"/>
            </w:tcMar>
            <w:vAlign w:val="center"/>
          </w:tcPr>
          <w:p w:rsidR="000B1BFC" w:rsidRDefault="000B1BFC" w:rsidP="006C1074">
            <w:pPr>
              <w:spacing w:line="300" w:lineRule="exact"/>
              <w:rPr>
                <w:rFonts w:ascii="宋体" w:hAnsi="宋体" w:cs="宋体"/>
                <w:szCs w:val="21"/>
              </w:rPr>
            </w:pPr>
            <w:r>
              <w:rPr>
                <w:rFonts w:hint="eastAsia"/>
                <w:bCs/>
                <w:szCs w:val="21"/>
              </w:rPr>
              <w:t>实验室环境应整洁卫生有序</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不在实验室睡觉过夜，不存放和烧煮食物、饮食，化学生物类实验室不准吸烟、使用可燃性蚊香</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shd w:val="clear" w:color="auto" w:fill="auto"/>
            <w:tcMar>
              <w:left w:w="45" w:type="dxa"/>
              <w:right w:w="45" w:type="dxa"/>
            </w:tcMar>
            <w:vAlign w:val="center"/>
          </w:tcPr>
          <w:p w:rsidR="000B1BFC" w:rsidRDefault="000B1BFC" w:rsidP="006C1074">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bCs/>
                <w:szCs w:val="21"/>
              </w:rPr>
              <w:t>实验期间人员必须在岗，并有值日情况记录</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场所其它安全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shd w:val="clear" w:color="auto" w:fill="auto"/>
            <w:tcMar>
              <w:left w:w="45" w:type="dxa"/>
              <w:right w:w="45" w:type="dxa"/>
            </w:tcMar>
            <w:vAlign w:val="center"/>
          </w:tcPr>
          <w:p w:rsidR="000B1BFC" w:rsidRDefault="000B1BFC" w:rsidP="006C1074">
            <w:pPr>
              <w:spacing w:line="300" w:lineRule="exact"/>
              <w:rPr>
                <w:rFonts w:ascii="宋体" w:hAnsi="宋体" w:cs="宋体"/>
                <w:szCs w:val="21"/>
              </w:rPr>
            </w:pPr>
            <w:r>
              <w:t>每间实验室均有编号并登记造册</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shd w:val="clear" w:color="auto" w:fill="auto"/>
            <w:tcMar>
              <w:left w:w="45" w:type="dxa"/>
              <w:right w:w="45" w:type="dxa"/>
            </w:tcMar>
            <w:vAlign w:val="center"/>
          </w:tcPr>
          <w:p w:rsidR="000B1BFC" w:rsidRDefault="000B1BFC" w:rsidP="006C1074">
            <w:pPr>
              <w:spacing w:line="300" w:lineRule="exact"/>
              <w:rPr>
                <w:rFonts w:ascii="宋体" w:hAnsi="宋体" w:cs="宋体"/>
                <w:szCs w:val="21"/>
              </w:rPr>
            </w:pPr>
            <w:r>
              <w:rPr>
                <w:rFonts w:hint="eastAsia"/>
                <w:szCs w:val="21"/>
              </w:rPr>
              <w:t>危险性实验室应配备急救物品</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shd w:val="clear" w:color="auto" w:fill="auto"/>
            <w:tcMar>
              <w:left w:w="45" w:type="dxa"/>
              <w:right w:w="45" w:type="dxa"/>
            </w:tcMar>
            <w:vAlign w:val="center"/>
          </w:tcPr>
          <w:p w:rsidR="000B1BFC" w:rsidRDefault="000B1BFC" w:rsidP="006C1074">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shd w:val="clear" w:color="auto" w:fill="auto"/>
            <w:tcMar>
              <w:left w:w="45" w:type="dxa"/>
              <w:right w:w="45" w:type="dxa"/>
            </w:tcMar>
            <w:vAlign w:val="center"/>
          </w:tcPr>
          <w:p w:rsidR="000B1BFC" w:rsidRDefault="000B1BFC" w:rsidP="006C1074">
            <w:pPr>
              <w:spacing w:line="300" w:lineRule="exact"/>
              <w:jc w:val="left"/>
              <w:rPr>
                <w:bCs/>
                <w:szCs w:val="21"/>
              </w:rPr>
            </w:pPr>
            <w:r>
              <w:rPr>
                <w:rFonts w:hint="eastAsia"/>
                <w:szCs w:val="21"/>
              </w:rPr>
              <w:t>具有</w:t>
            </w:r>
            <w:r>
              <w:rPr>
                <w:szCs w:val="21"/>
              </w:rPr>
              <w:t>危险隐患的实验室及设备在拆除前必须做好安全论证</w:t>
            </w:r>
          </w:p>
        </w:tc>
        <w:tc>
          <w:tcPr>
            <w:tcW w:w="2829" w:type="dxa"/>
            <w:tcMar>
              <w:left w:w="45" w:type="dxa"/>
              <w:right w:w="45" w:type="dxa"/>
            </w:tcMar>
            <w:vAlign w:val="center"/>
          </w:tcPr>
          <w:p w:rsidR="000B1BFC" w:rsidRDefault="000B1BFC" w:rsidP="006C1074">
            <w:pPr>
              <w:spacing w:line="300" w:lineRule="exact"/>
              <w:jc w:val="left"/>
              <w:rPr>
                <w:bCs/>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b/>
                <w:kern w:val="0"/>
                <w:szCs w:val="21"/>
              </w:rPr>
            </w:pPr>
            <w:r w:rsidRPr="00AD4CB7">
              <w:rPr>
                <w:b/>
                <w:kern w:val="0"/>
                <w:szCs w:val="21"/>
              </w:rPr>
              <w:t>6</w:t>
            </w:r>
          </w:p>
        </w:tc>
        <w:tc>
          <w:tcPr>
            <w:tcW w:w="14023" w:type="dxa"/>
            <w:gridSpan w:val="3"/>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
                <w:kern w:val="0"/>
                <w:szCs w:val="21"/>
              </w:rPr>
            </w:pPr>
            <w:r w:rsidRPr="00AD4CB7">
              <w:rPr>
                <w:rFonts w:ascii="宋体" w:hAnsi="宋体"/>
                <w:b/>
                <w:kern w:val="0"/>
                <w:szCs w:val="21"/>
              </w:rPr>
              <w:t>安全设施</w:t>
            </w: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b/>
                <w:kern w:val="0"/>
                <w:szCs w:val="21"/>
              </w:rPr>
            </w:pPr>
            <w:r w:rsidRPr="00AD4CB7">
              <w:rPr>
                <w:b/>
                <w:kern w:val="0"/>
                <w:szCs w:val="21"/>
              </w:rPr>
              <w:lastRenderedPageBreak/>
              <w:t>6.1</w:t>
            </w:r>
          </w:p>
        </w:tc>
        <w:tc>
          <w:tcPr>
            <w:tcW w:w="14023" w:type="dxa"/>
            <w:gridSpan w:val="3"/>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
                <w:kern w:val="0"/>
                <w:szCs w:val="21"/>
              </w:rPr>
            </w:pPr>
            <w:r w:rsidRPr="00AD4CB7">
              <w:rPr>
                <w:rFonts w:ascii="宋体" w:hAnsi="宋体"/>
                <w:b/>
                <w:kern w:val="0"/>
                <w:szCs w:val="21"/>
              </w:rPr>
              <w:t>消防设施</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rPr>
                <w:rFonts w:eastAsia="等线"/>
                <w:szCs w:val="21"/>
              </w:rPr>
            </w:pPr>
            <w:r>
              <w:rPr>
                <w:rFonts w:eastAsia="等线" w:hint="eastAsia"/>
                <w:szCs w:val="21"/>
              </w:rPr>
              <w:t>6</w:t>
            </w:r>
            <w:r>
              <w:rPr>
                <w:rFonts w:eastAsia="等线"/>
                <w:szCs w:val="21"/>
              </w:rPr>
              <w:t>.1.1</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实验室应配备合适的灭火设备，并定期开展使用训练</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roofErr w:type="gramStart"/>
            <w:r w:rsidRPr="00AD4CB7">
              <w:rPr>
                <w:rFonts w:ascii="宋体" w:hAnsi="宋体" w:hint="eastAsia"/>
                <w:kern w:val="0"/>
                <w:szCs w:val="21"/>
              </w:rPr>
              <w:t>实验室内烟感</w:t>
            </w:r>
            <w:proofErr w:type="gramEnd"/>
            <w:r w:rsidRPr="00AD4CB7">
              <w:rPr>
                <w:rFonts w:ascii="宋体" w:hAnsi="宋体"/>
                <w:kern w:val="0"/>
                <w:szCs w:val="21"/>
              </w:rPr>
              <w:t>报警器、</w:t>
            </w:r>
            <w:r w:rsidRPr="00AD4CB7">
              <w:rPr>
                <w:rFonts w:ascii="宋体" w:hAnsi="宋体" w:hint="eastAsia"/>
                <w:kern w:val="0"/>
                <w:szCs w:val="21"/>
              </w:rPr>
              <w:t>灭火器、灭火</w:t>
            </w:r>
            <w:proofErr w:type="gramStart"/>
            <w:r w:rsidRPr="00AD4CB7">
              <w:rPr>
                <w:rFonts w:ascii="宋体" w:hAnsi="宋体" w:hint="eastAsia"/>
                <w:kern w:val="0"/>
                <w:szCs w:val="21"/>
              </w:rPr>
              <w:t>毯</w:t>
            </w:r>
            <w:proofErr w:type="gramEnd"/>
            <w:r w:rsidRPr="00AD4CB7">
              <w:rPr>
                <w:rFonts w:ascii="宋体" w:hAnsi="宋体" w:hint="eastAsia"/>
                <w:kern w:val="0"/>
                <w:szCs w:val="21"/>
              </w:rPr>
              <w:t>、消防沙桶、消防喷淋等，应正常有效、</w:t>
            </w:r>
            <w:r w:rsidRPr="00AD4CB7">
              <w:rPr>
                <w:rFonts w:ascii="宋体" w:hAnsi="宋体"/>
                <w:kern w:val="0"/>
                <w:szCs w:val="21"/>
              </w:rPr>
              <w:t>方便取用</w:t>
            </w:r>
            <w:r w:rsidRPr="00AD4CB7">
              <w:rPr>
                <w:rFonts w:ascii="宋体" w:hAnsi="宋体" w:hint="eastAsia"/>
                <w:kern w:val="0"/>
                <w:szCs w:val="21"/>
              </w:rPr>
              <w:t>；灭火器种类配置正确；灭火器在有效期内（压力指针</w:t>
            </w:r>
            <w:r w:rsidRPr="00AD4CB7">
              <w:rPr>
                <w:rFonts w:ascii="宋体" w:hAnsi="宋体"/>
                <w:kern w:val="0"/>
                <w:szCs w:val="21"/>
              </w:rPr>
              <w:t>位置</w:t>
            </w:r>
            <w:r w:rsidRPr="00AD4CB7">
              <w:rPr>
                <w:rFonts w:ascii="宋体" w:hAnsi="宋体" w:hint="eastAsia"/>
                <w:kern w:val="0"/>
                <w:szCs w:val="21"/>
              </w:rPr>
              <w:t>正常等），安全销（拉针）正常，瓶身无破损、腐蚀；</w:t>
            </w:r>
            <w:r w:rsidRPr="00AD4CB7">
              <w:rPr>
                <w:rFonts w:ascii="宋体" w:hAnsi="宋体"/>
                <w:bCs/>
                <w:kern w:val="0"/>
                <w:szCs w:val="21"/>
              </w:rPr>
              <w:t>公共</w:t>
            </w:r>
            <w:r w:rsidRPr="00AD4CB7">
              <w:rPr>
                <w:rFonts w:ascii="宋体" w:hAnsi="宋体" w:hint="eastAsia"/>
                <w:bCs/>
                <w:kern w:val="0"/>
                <w:szCs w:val="21"/>
              </w:rPr>
              <w:t>区域</w:t>
            </w:r>
            <w:r w:rsidRPr="00AD4CB7">
              <w:rPr>
                <w:rFonts w:ascii="宋体" w:hAnsi="宋体"/>
                <w:bCs/>
                <w:kern w:val="0"/>
                <w:szCs w:val="21"/>
              </w:rPr>
              <w:t>灭火器数量</w:t>
            </w:r>
            <w:r w:rsidRPr="00AD4CB7">
              <w:rPr>
                <w:rFonts w:ascii="宋体" w:hAnsi="宋体" w:hint="eastAsia"/>
                <w:bCs/>
                <w:kern w:val="0"/>
                <w:szCs w:val="21"/>
              </w:rPr>
              <w:t>（间距）</w:t>
            </w:r>
            <w:r w:rsidRPr="00AD4CB7">
              <w:rPr>
                <w:rFonts w:ascii="宋体" w:hAnsi="宋体"/>
                <w:bCs/>
                <w:kern w:val="0"/>
                <w:szCs w:val="21"/>
              </w:rPr>
              <w:t>与</w:t>
            </w:r>
            <w:r w:rsidRPr="00AD4CB7">
              <w:rPr>
                <w:rFonts w:ascii="宋体" w:hAnsi="宋体" w:hint="eastAsia"/>
                <w:bCs/>
                <w:kern w:val="0"/>
                <w:szCs w:val="21"/>
              </w:rPr>
              <w:t>实验室</w:t>
            </w:r>
            <w:r w:rsidRPr="00AD4CB7">
              <w:rPr>
                <w:rFonts w:ascii="宋体" w:hAnsi="宋体"/>
                <w:bCs/>
                <w:kern w:val="0"/>
                <w:szCs w:val="21"/>
              </w:rPr>
              <w:t>安全等级</w:t>
            </w:r>
            <w:r w:rsidRPr="00AD4CB7">
              <w:rPr>
                <w:rFonts w:ascii="宋体" w:hAnsi="宋体" w:hint="eastAsia"/>
                <w:bCs/>
                <w:kern w:val="0"/>
                <w:szCs w:val="21"/>
              </w:rPr>
              <w:t>相</w:t>
            </w:r>
            <w:r w:rsidRPr="00AD4CB7">
              <w:rPr>
                <w:rFonts w:ascii="宋体" w:hAnsi="宋体"/>
                <w:bCs/>
                <w:kern w:val="0"/>
                <w:szCs w:val="21"/>
              </w:rPr>
              <w:t>适应</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在显著位置张贴有紧急逃生疏散路线图</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kern w:val="0"/>
                <w:szCs w:val="21"/>
              </w:rPr>
              <w:t>图上逃生路线应有二条以上；路线与现场情况符合；主要逃生路径（室内、楼梯、通道和出口处）有足够的紧急照明灯，功能正常；师生应熟悉紧急疏散路线及火场逃生注意事项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b/>
                <w:kern w:val="0"/>
                <w:szCs w:val="21"/>
              </w:rPr>
            </w:pPr>
            <w:r w:rsidRPr="00AD4CB7">
              <w:rPr>
                <w:b/>
                <w:kern w:val="0"/>
                <w:szCs w:val="21"/>
              </w:rPr>
              <w:t>6.2</w:t>
            </w:r>
          </w:p>
        </w:tc>
        <w:tc>
          <w:tcPr>
            <w:tcW w:w="14023" w:type="dxa"/>
            <w:gridSpan w:val="3"/>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
                <w:kern w:val="0"/>
                <w:szCs w:val="21"/>
              </w:rPr>
            </w:pPr>
            <w:r w:rsidRPr="00AD4CB7">
              <w:rPr>
                <w:rFonts w:ascii="宋体" w:hAnsi="宋体"/>
                <w:b/>
                <w:kern w:val="0"/>
                <w:szCs w:val="21"/>
              </w:rPr>
              <w:t>应急喷淋</w:t>
            </w:r>
            <w:r w:rsidRPr="00AD4CB7">
              <w:rPr>
                <w:rFonts w:ascii="宋体" w:hAnsi="宋体" w:hint="eastAsia"/>
                <w:b/>
                <w:kern w:val="0"/>
                <w:szCs w:val="21"/>
              </w:rPr>
              <w:t>与</w:t>
            </w:r>
            <w:r w:rsidRPr="00AD4CB7">
              <w:rPr>
                <w:rFonts w:ascii="宋体" w:hAnsi="宋体"/>
                <w:b/>
                <w:kern w:val="0"/>
                <w:szCs w:val="21"/>
              </w:rPr>
              <w:t>洗眼装置</w:t>
            </w: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6.2.1</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存在可能受到化学和生物伤害的实验区域，需配置应急喷淋和洗眼装置</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kern w:val="0"/>
                <w:szCs w:val="21"/>
              </w:rPr>
              <w:t>有</w:t>
            </w:r>
            <w:proofErr w:type="gramStart"/>
            <w:r w:rsidRPr="00AD4CB7">
              <w:rPr>
                <w:rFonts w:ascii="宋体" w:hAnsi="宋体" w:hint="eastAsia"/>
                <w:kern w:val="0"/>
                <w:szCs w:val="21"/>
              </w:rPr>
              <w:t>显著引导</w:t>
            </w:r>
            <w:proofErr w:type="gramEnd"/>
            <w:r w:rsidRPr="00AD4CB7">
              <w:rPr>
                <w:rFonts w:ascii="宋体" w:hAnsi="宋体" w:hint="eastAsia"/>
                <w:kern w:val="0"/>
                <w:szCs w:val="21"/>
              </w:rPr>
              <w:t>标识</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6.2.2</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应急喷淋与洗眼装置安装合理，并能正常使用</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kern w:val="0"/>
                <w:szCs w:val="21"/>
              </w:rPr>
              <w:t>应急喷淋安装地点与工作区域之间畅通，距离不超过30米；应急喷淋安装位置合适，拉杆位置</w:t>
            </w:r>
            <w:r w:rsidRPr="00AD4CB7">
              <w:rPr>
                <w:rFonts w:ascii="宋体" w:hAnsi="宋体"/>
                <w:kern w:val="0"/>
                <w:szCs w:val="21"/>
              </w:rPr>
              <w:t>合适、</w:t>
            </w:r>
            <w:r w:rsidRPr="00AD4CB7">
              <w:rPr>
                <w:rFonts w:ascii="宋体" w:hAnsi="宋体" w:hint="eastAsia"/>
                <w:kern w:val="0"/>
                <w:szCs w:val="21"/>
              </w:rPr>
              <w:t>方向</w:t>
            </w:r>
            <w:r w:rsidRPr="00AD4CB7">
              <w:rPr>
                <w:rFonts w:ascii="宋体" w:hAnsi="宋体"/>
                <w:kern w:val="0"/>
                <w:szCs w:val="21"/>
              </w:rPr>
              <w:t>正确</w:t>
            </w:r>
            <w:r w:rsidRPr="00AD4CB7">
              <w:rPr>
                <w:rFonts w:ascii="宋体" w:hAnsi="宋体" w:hint="eastAsia"/>
                <w:kern w:val="0"/>
                <w:szCs w:val="21"/>
              </w:rPr>
              <w:t>；</w:t>
            </w:r>
            <w:r w:rsidRPr="00AD4CB7">
              <w:rPr>
                <w:rFonts w:ascii="宋体" w:hAnsi="宋体"/>
                <w:kern w:val="0"/>
                <w:szCs w:val="21"/>
              </w:rPr>
              <w:t>应急喷淋装置水管总阀处常开状，喷</w:t>
            </w:r>
            <w:r w:rsidRPr="00AD4CB7">
              <w:rPr>
                <w:rFonts w:ascii="宋体" w:hAnsi="宋体" w:hint="eastAsia"/>
                <w:kern w:val="0"/>
                <w:szCs w:val="21"/>
              </w:rPr>
              <w:t>淋</w:t>
            </w:r>
            <w:r w:rsidRPr="00AD4CB7">
              <w:rPr>
                <w:rFonts w:ascii="宋体" w:hAnsi="宋体"/>
                <w:kern w:val="0"/>
                <w:szCs w:val="21"/>
              </w:rPr>
              <w:t>头下方无障碍物</w:t>
            </w:r>
            <w:r w:rsidRPr="00AD4CB7">
              <w:rPr>
                <w:rFonts w:ascii="宋体" w:hAnsi="宋体" w:hint="eastAsia"/>
                <w:kern w:val="0"/>
                <w:szCs w:val="21"/>
              </w:rPr>
              <w:t>；</w:t>
            </w:r>
            <w:r w:rsidRPr="00AD4CB7">
              <w:rPr>
                <w:rFonts w:ascii="宋体" w:hAnsi="宋体"/>
                <w:kern w:val="0"/>
                <w:szCs w:val="21"/>
              </w:rPr>
              <w:t>不能以普通淋浴装置代替应急喷淋装置</w:t>
            </w:r>
            <w:r w:rsidRPr="00AD4CB7">
              <w:rPr>
                <w:rFonts w:ascii="宋体" w:hAnsi="宋体" w:hint="eastAsia"/>
                <w:kern w:val="0"/>
                <w:szCs w:val="21"/>
              </w:rPr>
              <w:t>；洗眼装置接入生活用水管道，水量水压适中（喷出高度</w:t>
            </w:r>
            <w:r w:rsidRPr="00AD4CB7">
              <w:rPr>
                <w:rFonts w:ascii="宋体" w:hAnsi="宋体"/>
                <w:kern w:val="0"/>
                <w:szCs w:val="21"/>
              </w:rPr>
              <w:t>8</w:t>
            </w:r>
            <w:r w:rsidRPr="00AD4CB7">
              <w:rPr>
                <w:rFonts w:ascii="宋体" w:hAnsi="宋体" w:hint="eastAsia"/>
                <w:kern w:val="0"/>
                <w:szCs w:val="21"/>
              </w:rPr>
              <w:t>-10cm），</w:t>
            </w:r>
            <w:r w:rsidRPr="00AD4CB7">
              <w:rPr>
                <w:rFonts w:ascii="宋体" w:hAnsi="宋体" w:hint="eastAsia"/>
                <w:bCs/>
                <w:kern w:val="0"/>
                <w:szCs w:val="21"/>
              </w:rPr>
              <w:t>水流畅通平稳</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6.2.3</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定期对应急喷淋与</w:t>
            </w:r>
            <w:r w:rsidRPr="00AD4CB7">
              <w:rPr>
                <w:rFonts w:ascii="宋体" w:hAnsi="宋体"/>
                <w:kern w:val="0"/>
                <w:szCs w:val="21"/>
              </w:rPr>
              <w:t>洗眼</w:t>
            </w:r>
            <w:r w:rsidRPr="00AD4CB7">
              <w:rPr>
                <w:rFonts w:ascii="宋体" w:hAnsi="宋体" w:hint="eastAsia"/>
                <w:kern w:val="0"/>
                <w:szCs w:val="21"/>
              </w:rPr>
              <w:t>装置进行维护</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kern w:val="0"/>
                <w:szCs w:val="21"/>
              </w:rPr>
              <w:t>有检查记录（每月启动一次阀门，时刻保证管内流水畅通）；每周擦拭洗眼喷头，</w:t>
            </w:r>
            <w:r w:rsidRPr="00AD4CB7">
              <w:rPr>
                <w:rFonts w:ascii="宋体" w:hAnsi="宋体" w:hint="eastAsia"/>
                <w:bCs/>
                <w:kern w:val="0"/>
                <w:szCs w:val="21"/>
              </w:rPr>
              <w:t>无锈水脏水</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b/>
                <w:kern w:val="0"/>
                <w:szCs w:val="21"/>
              </w:rPr>
            </w:pPr>
            <w:r w:rsidRPr="00AD4CB7">
              <w:rPr>
                <w:b/>
                <w:kern w:val="0"/>
                <w:szCs w:val="21"/>
              </w:rPr>
              <w:t>6.3</w:t>
            </w:r>
          </w:p>
        </w:tc>
        <w:tc>
          <w:tcPr>
            <w:tcW w:w="14023" w:type="dxa"/>
            <w:gridSpan w:val="3"/>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
                <w:kern w:val="0"/>
                <w:szCs w:val="21"/>
              </w:rPr>
            </w:pPr>
            <w:r w:rsidRPr="00AD4CB7">
              <w:rPr>
                <w:rFonts w:ascii="宋体" w:hAnsi="宋体"/>
                <w:b/>
                <w:kern w:val="0"/>
                <w:szCs w:val="21"/>
              </w:rPr>
              <w:t>通风系统</w:t>
            </w: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6.3.1</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有需要的实验场所</w:t>
            </w:r>
            <w:r w:rsidRPr="00AD4CB7">
              <w:rPr>
                <w:rFonts w:ascii="宋体" w:hAnsi="宋体"/>
                <w:kern w:val="0"/>
                <w:szCs w:val="21"/>
              </w:rPr>
              <w:t xml:space="preserve">配备符合要求的通风系统 </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kern w:val="0"/>
                <w:szCs w:val="21"/>
              </w:rPr>
              <w:t>管道风机需防腐，使用可燃气体场所应采用防爆风机</w:t>
            </w:r>
            <w:r w:rsidRPr="00AD4CB7">
              <w:rPr>
                <w:rFonts w:ascii="宋体" w:hAnsi="宋体" w:hint="eastAsia"/>
                <w:bCs/>
                <w:kern w:val="0"/>
                <w:szCs w:val="21"/>
              </w:rPr>
              <w:t>；</w:t>
            </w:r>
            <w:r w:rsidRPr="00AD4CB7">
              <w:rPr>
                <w:rFonts w:ascii="宋体" w:hAnsi="宋体" w:hint="eastAsia"/>
                <w:kern w:val="0"/>
                <w:szCs w:val="21"/>
              </w:rPr>
              <w:t>实验室</w:t>
            </w:r>
            <w:r w:rsidRPr="00AD4CB7">
              <w:rPr>
                <w:rFonts w:ascii="宋体" w:hAnsi="宋体"/>
                <w:kern w:val="0"/>
                <w:szCs w:val="21"/>
              </w:rPr>
              <w:t>通风系统运行</w:t>
            </w:r>
            <w:r w:rsidRPr="00AD4CB7">
              <w:rPr>
                <w:rFonts w:ascii="宋体" w:hAnsi="宋体" w:hint="eastAsia"/>
                <w:kern w:val="0"/>
                <w:szCs w:val="21"/>
              </w:rPr>
              <w:t>正常，</w:t>
            </w:r>
            <w:r>
              <w:rPr>
                <w:rFonts w:hint="eastAsia"/>
                <w:szCs w:val="21"/>
              </w:rPr>
              <w:t>柜口面</w:t>
            </w:r>
            <w:r w:rsidRPr="00AD4CB7">
              <w:rPr>
                <w:rFonts w:ascii="宋体" w:hAnsi="宋体" w:hint="eastAsia"/>
                <w:kern w:val="0"/>
                <w:szCs w:val="21"/>
              </w:rPr>
              <w:t>风速0.</w:t>
            </w:r>
            <w:r w:rsidRPr="00AD4CB7">
              <w:rPr>
                <w:rFonts w:ascii="宋体" w:hAnsi="宋体"/>
                <w:kern w:val="0"/>
                <w:szCs w:val="21"/>
              </w:rPr>
              <w:t>3</w:t>
            </w:r>
            <w:r w:rsidRPr="00AD4CB7">
              <w:rPr>
                <w:rFonts w:ascii="宋体" w:hAnsi="宋体" w:hint="eastAsia"/>
                <w:kern w:val="0"/>
                <w:szCs w:val="21"/>
              </w:rPr>
              <w:t>5-0.</w:t>
            </w:r>
            <w:r w:rsidRPr="00AD4CB7">
              <w:rPr>
                <w:rFonts w:ascii="宋体" w:hAnsi="宋体"/>
                <w:kern w:val="0"/>
                <w:szCs w:val="21"/>
              </w:rPr>
              <w:t>7</w:t>
            </w:r>
            <w:r w:rsidRPr="00AD4CB7">
              <w:rPr>
                <w:rFonts w:ascii="宋体" w:hAnsi="宋体" w:hint="eastAsia"/>
                <w:kern w:val="0"/>
                <w:szCs w:val="21"/>
              </w:rPr>
              <w:t>5 m/s，定期进行维护、检修；</w:t>
            </w:r>
            <w:r w:rsidRPr="00AD4CB7">
              <w:rPr>
                <w:rFonts w:ascii="宋体" w:hAnsi="宋体"/>
                <w:kern w:val="0"/>
                <w:szCs w:val="21"/>
              </w:rPr>
              <w:t>屋顶风机固定无松动、无异常噪声</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6.3.2</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kern w:val="0"/>
                <w:szCs w:val="21"/>
              </w:rPr>
              <w:t>通风橱的配置合理、使用正常、操作合</w:t>
            </w:r>
            <w:proofErr w:type="gramStart"/>
            <w:r w:rsidRPr="00AD4CB7">
              <w:rPr>
                <w:rFonts w:ascii="宋体" w:hAnsi="宋体" w:hint="eastAsia"/>
                <w:kern w:val="0"/>
                <w:szCs w:val="21"/>
              </w:rPr>
              <w:t>规</w:t>
            </w:r>
            <w:proofErr w:type="gramEnd"/>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kern w:val="0"/>
                <w:szCs w:val="21"/>
              </w:rPr>
              <w:t>根据需要在通风橱管路上安装有毒有害气体的吸附或处理装置（如</w:t>
            </w:r>
            <w:r w:rsidRPr="00AD4CB7">
              <w:rPr>
                <w:rFonts w:ascii="宋体" w:hAnsi="宋体"/>
                <w:kern w:val="0"/>
                <w:szCs w:val="21"/>
              </w:rPr>
              <w:t>活性炭、光催化分</w:t>
            </w:r>
            <w:r w:rsidRPr="00AD4CB7">
              <w:rPr>
                <w:rFonts w:ascii="宋体" w:hAnsi="宋体" w:hint="eastAsia"/>
                <w:kern w:val="0"/>
                <w:szCs w:val="21"/>
              </w:rPr>
              <w:t>解</w:t>
            </w:r>
            <w:r w:rsidRPr="00AD4CB7">
              <w:rPr>
                <w:rFonts w:ascii="宋体" w:hAnsi="宋体"/>
                <w:kern w:val="0"/>
                <w:szCs w:val="21"/>
              </w:rPr>
              <w:t>、水喷淋等</w:t>
            </w:r>
            <w:r w:rsidRPr="00AD4CB7">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sidRPr="00AD4CB7">
              <w:rPr>
                <w:rFonts w:ascii="宋体" w:hAnsi="宋体"/>
                <w:kern w:val="0"/>
                <w:szCs w:val="21"/>
              </w:rPr>
              <w:t>-</w:t>
            </w:r>
            <w:r w:rsidRPr="00AD4CB7">
              <w:rPr>
                <w:rFonts w:ascii="宋体" w:hAnsi="宋体" w:hint="eastAsia"/>
                <w:kern w:val="0"/>
                <w:szCs w:val="21"/>
              </w:rPr>
              <w:t>15cm，保持</w:t>
            </w:r>
            <w:r w:rsidRPr="00AD4CB7">
              <w:rPr>
                <w:rFonts w:ascii="宋体" w:hAnsi="宋体"/>
                <w:kern w:val="0"/>
                <w:szCs w:val="21"/>
              </w:rPr>
              <w:t>通风效果，并保护</w:t>
            </w:r>
            <w:r w:rsidRPr="00AD4CB7">
              <w:rPr>
                <w:rFonts w:ascii="宋体" w:hAnsi="宋体" w:hint="eastAsia"/>
                <w:kern w:val="0"/>
                <w:szCs w:val="21"/>
              </w:rPr>
              <w:t>操作人员胸部以上部</w:t>
            </w:r>
            <w:r w:rsidRPr="00AD4CB7">
              <w:rPr>
                <w:rFonts w:ascii="宋体" w:hAnsi="宋体" w:hint="eastAsia"/>
                <w:kern w:val="0"/>
                <w:szCs w:val="21"/>
              </w:rPr>
              <w:lastRenderedPageBreak/>
              <w:t>位；</w:t>
            </w:r>
            <w:r w:rsidRPr="00AD4CB7">
              <w:rPr>
                <w:rFonts w:ascii="宋体" w:hAnsi="宋体"/>
                <w:bCs/>
                <w:kern w:val="0"/>
                <w:szCs w:val="21"/>
              </w:rPr>
              <w:t>玻璃视窗材料应是钢化玻璃</w:t>
            </w:r>
            <w:r w:rsidRPr="00AD4CB7">
              <w:rPr>
                <w:rFonts w:ascii="宋体" w:hAnsi="宋体" w:hint="eastAsia"/>
                <w:bCs/>
                <w:kern w:val="0"/>
                <w:szCs w:val="21"/>
              </w:rPr>
              <w:t>。</w:t>
            </w:r>
            <w:r w:rsidRPr="00AD4CB7">
              <w:rPr>
                <w:rFonts w:ascii="宋体" w:hAnsi="宋体" w:hint="eastAsia"/>
                <w:kern w:val="0"/>
                <w:szCs w:val="21"/>
              </w:rPr>
              <w:t>实验人员在通风橱进行实验时，避免将头伸入调节门内；不将一次性手套或较轻的塑料袋等留在通风橱内，以免堵塞排风口；通风橱内放置</w:t>
            </w:r>
            <w:r w:rsidRPr="00AD4CB7">
              <w:rPr>
                <w:rFonts w:ascii="宋体" w:hAnsi="宋体"/>
                <w:kern w:val="0"/>
                <w:szCs w:val="21"/>
              </w:rPr>
              <w:t>物品</w:t>
            </w:r>
            <w:r w:rsidRPr="00AD4CB7">
              <w:rPr>
                <w:rFonts w:ascii="宋体" w:hAnsi="宋体" w:hint="eastAsia"/>
                <w:kern w:val="0"/>
                <w:szCs w:val="21"/>
              </w:rPr>
              <w:t>应距离调节门内侧15cm左右，以免</w:t>
            </w:r>
            <w:r w:rsidRPr="00AD4CB7">
              <w:rPr>
                <w:rFonts w:ascii="宋体" w:hAnsi="宋体"/>
                <w:kern w:val="0"/>
                <w:szCs w:val="21"/>
              </w:rPr>
              <w:t>掉落</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b/>
                <w:kern w:val="0"/>
                <w:szCs w:val="21"/>
              </w:rPr>
            </w:pPr>
            <w:r w:rsidRPr="00AD4CB7">
              <w:rPr>
                <w:b/>
                <w:kern w:val="0"/>
                <w:szCs w:val="21"/>
              </w:rPr>
              <w:lastRenderedPageBreak/>
              <w:t>6.4</w:t>
            </w:r>
          </w:p>
        </w:tc>
        <w:tc>
          <w:tcPr>
            <w:tcW w:w="14023" w:type="dxa"/>
            <w:gridSpan w:val="3"/>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
                <w:kern w:val="0"/>
                <w:szCs w:val="21"/>
              </w:rPr>
            </w:pPr>
            <w:r w:rsidRPr="00AD4CB7">
              <w:rPr>
                <w:rFonts w:ascii="宋体" w:hAnsi="宋体" w:hint="eastAsia"/>
                <w:b/>
                <w:kern w:val="0"/>
                <w:szCs w:val="21"/>
              </w:rPr>
              <w:t>门禁监控</w:t>
            </w: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6.4.1</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szCs w:val="21"/>
              </w:rPr>
              <w:t>重点</w:t>
            </w:r>
            <w:r w:rsidRPr="00AD4CB7">
              <w:rPr>
                <w:rFonts w:ascii="宋体" w:hAnsi="宋体"/>
                <w:szCs w:val="21"/>
              </w:rPr>
              <w:t>场所</w:t>
            </w:r>
            <w:r w:rsidRPr="00AD4CB7">
              <w:rPr>
                <w:rFonts w:ascii="宋体" w:hAnsi="宋体" w:hint="eastAsia"/>
                <w:szCs w:val="21"/>
              </w:rPr>
              <w:t>需安装门禁和监控设施，并有专人管理</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szCs w:val="21"/>
              </w:rPr>
              <w:t>重点关注剧毒品、病原微生物、特种设备和放射源存放点等危险源的管理</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6.4.2</w:t>
            </w:r>
          </w:p>
        </w:tc>
        <w:tc>
          <w:tcPr>
            <w:tcW w:w="3820"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kern w:val="0"/>
                <w:szCs w:val="21"/>
              </w:rPr>
            </w:pPr>
            <w:r w:rsidRPr="00AD4CB7">
              <w:rPr>
                <w:rFonts w:ascii="宋体" w:hAnsi="宋体" w:hint="eastAsia"/>
                <w:szCs w:val="21"/>
              </w:rPr>
              <w:t>门禁和监控系统运转正常，与</w:t>
            </w:r>
            <w:r w:rsidRPr="00AD4CB7">
              <w:rPr>
                <w:rFonts w:ascii="宋体" w:hAnsi="宋体"/>
                <w:szCs w:val="21"/>
              </w:rPr>
              <w:t>实验室准入制度</w:t>
            </w:r>
            <w:r w:rsidRPr="00AD4CB7">
              <w:rPr>
                <w:rFonts w:ascii="宋体" w:hAnsi="宋体" w:hint="eastAsia"/>
                <w:szCs w:val="21"/>
              </w:rPr>
              <w:t>相</w:t>
            </w:r>
            <w:r w:rsidRPr="00AD4CB7">
              <w:rPr>
                <w:rFonts w:ascii="宋体" w:hAnsi="宋体"/>
                <w:szCs w:val="21"/>
              </w:rPr>
              <w:t>匹配</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szCs w:val="21"/>
              </w:rPr>
              <w:t>监控不留死角，图像清晰，人员出入记录可查，建议视频记录存储时间大于1个月；</w:t>
            </w:r>
            <w:r w:rsidRPr="00AD4CB7">
              <w:rPr>
                <w:rFonts w:ascii="宋体" w:hAnsi="宋体"/>
                <w:szCs w:val="21"/>
              </w:rPr>
              <w:t>停电时</w:t>
            </w:r>
            <w:r w:rsidRPr="00AD4CB7">
              <w:rPr>
                <w:rFonts w:ascii="宋体" w:hAnsi="宋体" w:hint="eastAsia"/>
                <w:szCs w:val="21"/>
              </w:rPr>
              <w:t>，电子</w:t>
            </w:r>
            <w:r w:rsidRPr="00AD4CB7">
              <w:rPr>
                <w:rFonts w:ascii="宋体" w:hAnsi="宋体"/>
                <w:szCs w:val="21"/>
              </w:rPr>
              <w:t>门禁系统</w:t>
            </w:r>
            <w:r w:rsidRPr="00AD4CB7">
              <w:rPr>
                <w:rFonts w:ascii="宋体" w:hAnsi="宋体" w:hint="eastAsia"/>
                <w:szCs w:val="21"/>
              </w:rPr>
              <w:t>应</w:t>
            </w:r>
            <w:r w:rsidRPr="00AD4CB7">
              <w:rPr>
                <w:rFonts w:ascii="宋体" w:hAnsi="宋体"/>
                <w:szCs w:val="21"/>
              </w:rPr>
              <w:t>是开启状态</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b/>
                <w:kern w:val="0"/>
                <w:szCs w:val="21"/>
              </w:rPr>
            </w:pPr>
            <w:r w:rsidRPr="00AD4CB7">
              <w:rPr>
                <w:b/>
                <w:kern w:val="0"/>
                <w:szCs w:val="21"/>
              </w:rPr>
              <w:t>6.5</w:t>
            </w:r>
          </w:p>
        </w:tc>
        <w:tc>
          <w:tcPr>
            <w:tcW w:w="14023" w:type="dxa"/>
            <w:gridSpan w:val="3"/>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
                <w:szCs w:val="21"/>
              </w:rPr>
            </w:pPr>
            <w:r w:rsidRPr="00AD4CB7">
              <w:rPr>
                <w:rFonts w:ascii="宋体" w:hAnsi="宋体" w:hint="eastAsia"/>
                <w:b/>
                <w:szCs w:val="21"/>
              </w:rPr>
              <w:t>实验室防爆</w:t>
            </w: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6.5.1</w:t>
            </w:r>
          </w:p>
        </w:tc>
        <w:tc>
          <w:tcPr>
            <w:tcW w:w="3820" w:type="dxa"/>
            <w:shd w:val="clear" w:color="auto" w:fill="auto"/>
            <w:tcMar>
              <w:left w:w="45" w:type="dxa"/>
              <w:right w:w="45" w:type="dxa"/>
            </w:tcMar>
            <w:vAlign w:val="center"/>
          </w:tcPr>
          <w:p w:rsidR="000B1BFC" w:rsidRPr="00AD4CB7" w:rsidRDefault="000B1BFC" w:rsidP="006C1074">
            <w:pPr>
              <w:spacing w:line="300" w:lineRule="exact"/>
              <w:rPr>
                <w:rFonts w:ascii="宋体" w:hAnsi="宋体"/>
                <w:szCs w:val="21"/>
              </w:rPr>
            </w:pPr>
            <w:r w:rsidRPr="00AD4CB7">
              <w:rPr>
                <w:rFonts w:ascii="宋体" w:hAnsi="宋体" w:hint="eastAsia"/>
                <w:szCs w:val="21"/>
              </w:rPr>
              <w:t>防爆实验室需符合防爆设计要求</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szCs w:val="21"/>
              </w:rPr>
              <w:t>安装有防爆开关、防爆灯等，安装必要</w:t>
            </w:r>
            <w:r w:rsidRPr="00AD4CB7">
              <w:rPr>
                <w:rFonts w:ascii="宋体" w:hAnsi="宋体"/>
                <w:szCs w:val="21"/>
              </w:rPr>
              <w:t>的</w:t>
            </w:r>
            <w:r w:rsidRPr="00AD4CB7">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Pr="00AD4CB7" w:rsidRDefault="000B1BFC" w:rsidP="006C1074">
            <w:pPr>
              <w:widowControl/>
              <w:spacing w:line="300" w:lineRule="exact"/>
              <w:jc w:val="left"/>
              <w:rPr>
                <w:kern w:val="0"/>
                <w:szCs w:val="21"/>
              </w:rPr>
            </w:pPr>
            <w:r w:rsidRPr="00AD4CB7">
              <w:rPr>
                <w:kern w:val="0"/>
                <w:szCs w:val="21"/>
              </w:rPr>
              <w:t>6.5.2</w:t>
            </w:r>
          </w:p>
        </w:tc>
        <w:tc>
          <w:tcPr>
            <w:tcW w:w="3820" w:type="dxa"/>
            <w:shd w:val="clear" w:color="auto" w:fill="auto"/>
            <w:tcMar>
              <w:left w:w="45" w:type="dxa"/>
              <w:right w:w="45" w:type="dxa"/>
            </w:tcMar>
            <w:vAlign w:val="center"/>
          </w:tcPr>
          <w:p w:rsidR="000B1BFC" w:rsidRPr="00AD4CB7" w:rsidRDefault="000B1BFC" w:rsidP="006C1074">
            <w:pPr>
              <w:spacing w:line="300" w:lineRule="exact"/>
              <w:rPr>
                <w:rFonts w:ascii="宋体" w:hAnsi="宋体"/>
                <w:szCs w:val="21"/>
              </w:rPr>
            </w:pPr>
            <w:r w:rsidRPr="00AD4CB7">
              <w:rPr>
                <w:rFonts w:ascii="宋体" w:hAnsi="宋体" w:hint="eastAsia"/>
                <w:szCs w:val="21"/>
              </w:rPr>
              <w:t>应妥善防护具有爆炸危险性的仪器设备</w:t>
            </w:r>
          </w:p>
        </w:tc>
        <w:tc>
          <w:tcPr>
            <w:tcW w:w="7374" w:type="dxa"/>
            <w:shd w:val="clear" w:color="auto" w:fill="auto"/>
            <w:tcMar>
              <w:left w:w="45" w:type="dxa"/>
              <w:right w:w="45" w:type="dxa"/>
            </w:tcMar>
            <w:vAlign w:val="center"/>
          </w:tcPr>
          <w:p w:rsidR="000B1BFC" w:rsidRPr="00AD4CB7" w:rsidRDefault="000B1BFC" w:rsidP="006C1074">
            <w:pPr>
              <w:widowControl/>
              <w:spacing w:line="300" w:lineRule="exact"/>
              <w:jc w:val="left"/>
              <w:rPr>
                <w:rFonts w:ascii="宋体" w:hAnsi="宋体"/>
                <w:bCs/>
                <w:kern w:val="0"/>
                <w:szCs w:val="21"/>
              </w:rPr>
            </w:pPr>
            <w:r w:rsidRPr="00AD4CB7">
              <w:rPr>
                <w:rFonts w:ascii="宋体" w:hAnsi="宋体" w:hint="eastAsia"/>
                <w:szCs w:val="21"/>
              </w:rPr>
              <w:t>使用合适的安全罩防护</w:t>
            </w:r>
          </w:p>
        </w:tc>
        <w:tc>
          <w:tcPr>
            <w:tcW w:w="2829" w:type="dxa"/>
            <w:tcMar>
              <w:left w:w="45" w:type="dxa"/>
              <w:right w:w="45" w:type="dxa"/>
            </w:tcMar>
            <w:vAlign w:val="center"/>
          </w:tcPr>
          <w:p w:rsidR="000B1BFC" w:rsidRPr="00AD4CB7" w:rsidRDefault="000B1BFC" w:rsidP="006C1074">
            <w:pPr>
              <w:widowControl/>
              <w:spacing w:line="300" w:lineRule="exact"/>
              <w:jc w:val="left"/>
              <w:rPr>
                <w:rFonts w:ascii="宋体" w:hAnsi="宋体"/>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7</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基础</w:t>
            </w:r>
            <w:r>
              <w:rPr>
                <w:b/>
                <w:kern w:val="0"/>
                <w:szCs w:val="21"/>
              </w:rPr>
              <w:t>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7.1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7.1.1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实验室用电安全应符合国家标准（导则）和行业标准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电线接头绝缘可靠，无裸露连接线，地</w:t>
            </w:r>
            <w:r>
              <w:rPr>
                <w:rFonts w:hint="eastAsia"/>
                <w:kern w:val="0"/>
                <w:szCs w:val="21"/>
              </w:rPr>
              <w:t>面</w:t>
            </w:r>
            <w:r>
              <w:rPr>
                <w:kern w:val="0"/>
                <w:szCs w:val="21"/>
              </w:rPr>
              <w:t>上的线缆应有盖板或护套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7.1.2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电气线路和装备应按相关规定使用防爆电气线路和装置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满足</w:t>
            </w:r>
            <w:r>
              <w:rPr>
                <w:kern w:val="0"/>
                <w:szCs w:val="21"/>
              </w:rPr>
              <w:t>爆炸性环境用电气设备</w:t>
            </w:r>
            <w:r>
              <w:rPr>
                <w:rFonts w:hint="eastAsia"/>
                <w:kern w:val="0"/>
                <w:szCs w:val="21"/>
              </w:rPr>
              <w:t>的相关标准</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lastRenderedPageBreak/>
              <w:t>7.</w:t>
            </w:r>
            <w:r>
              <w:rPr>
                <w:rFonts w:hint="eastAsia"/>
                <w:kern w:val="0"/>
                <w:szCs w:val="21"/>
              </w:rPr>
              <w:t>1</w:t>
            </w:r>
            <w:r>
              <w:rPr>
                <w:kern w:val="0"/>
                <w:szCs w:val="21"/>
              </w:rPr>
              <w:t>.</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进排水系统布置合理，运行正常</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7.2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个人</w:t>
            </w:r>
            <w:r>
              <w:rPr>
                <w:b/>
                <w:kern w:val="0"/>
                <w:szCs w:val="21"/>
              </w:rPr>
              <w:t>防护</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rFonts w:hint="eastAsia"/>
                <w:kern w:val="0"/>
                <w:szCs w:val="21"/>
              </w:rPr>
              <w:t>实验人员需配备合适的个人防护用具</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长袖实验服或防护服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个人防护用具分散存放，并有明显标识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分散存放在安全场所，紧急情况下便于取用</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b/>
                <w:bCs/>
                <w:kern w:val="0"/>
                <w:szCs w:val="21"/>
              </w:rPr>
              <w:t>7.3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其它</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7.3.1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危险性实验（如高温、高压、高速运转等）时必须有两人在场</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7.3.2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实验台面整洁、实验记录规范</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8</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化学安全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8.1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8.1.1</w:t>
            </w:r>
          </w:p>
        </w:tc>
        <w:tc>
          <w:tcPr>
            <w:tcW w:w="3820"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kern w:val="0"/>
                <w:szCs w:val="21"/>
              </w:rPr>
              <w:t>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7374"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rFonts w:hint="eastAsia"/>
                <w:kern w:val="0"/>
                <w:szCs w:val="21"/>
              </w:rPr>
              <w:t>查看相关供应商的行政许可资质证书复印件</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8.1.2</w:t>
            </w:r>
          </w:p>
        </w:tc>
        <w:tc>
          <w:tcPr>
            <w:tcW w:w="3820"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shd w:val="clear" w:color="auto" w:fill="auto"/>
            <w:tcMar>
              <w:left w:w="45" w:type="dxa"/>
              <w:right w:w="45" w:type="dxa"/>
            </w:tcMar>
            <w:vAlign w:val="center"/>
          </w:tcPr>
          <w:p w:rsidR="000B1BFC" w:rsidRDefault="000B1BFC" w:rsidP="006C1074">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记录；购买危险化学品应有规范的验收记录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8.1.3</w:t>
            </w:r>
          </w:p>
        </w:tc>
        <w:tc>
          <w:tcPr>
            <w:tcW w:w="3820"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kern w:val="0"/>
                <w:szCs w:val="21"/>
              </w:rPr>
              <w:t>麻醉药品、精神药品等购买前须向食品药品监督管理部门申请</w:t>
            </w:r>
          </w:p>
        </w:tc>
        <w:tc>
          <w:tcPr>
            <w:tcW w:w="7374" w:type="dxa"/>
            <w:shd w:val="clear" w:color="auto" w:fill="auto"/>
            <w:tcMar>
              <w:left w:w="45" w:type="dxa"/>
              <w:right w:w="45" w:type="dxa"/>
            </w:tcMar>
            <w:vAlign w:val="center"/>
          </w:tcPr>
          <w:p w:rsidR="000B1BFC" w:rsidRDefault="000B1BFC" w:rsidP="006C1074">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8.1.4</w:t>
            </w:r>
          </w:p>
        </w:tc>
        <w:tc>
          <w:tcPr>
            <w:tcW w:w="3820" w:type="dxa"/>
            <w:shd w:val="clear" w:color="auto" w:fill="auto"/>
            <w:tcMar>
              <w:left w:w="45" w:type="dxa"/>
              <w:right w:w="45" w:type="dxa"/>
            </w:tcMar>
            <w:vAlign w:val="center"/>
          </w:tcPr>
          <w:p w:rsidR="000B1BFC" w:rsidRDefault="000B1BFC" w:rsidP="006C1074">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8.2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实验室</w:t>
            </w:r>
            <w:r>
              <w:rPr>
                <w:b/>
                <w:kern w:val="0"/>
                <w:szCs w:val="21"/>
              </w:rPr>
              <w:t>化学试剂存放</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8.2.1</w:t>
            </w:r>
          </w:p>
        </w:tc>
        <w:tc>
          <w:tcPr>
            <w:tcW w:w="3820" w:type="dxa"/>
            <w:shd w:val="clear" w:color="auto" w:fill="auto"/>
            <w:tcMar>
              <w:left w:w="45" w:type="dxa"/>
              <w:right w:w="45" w:type="dxa"/>
            </w:tcMar>
            <w:vAlign w:val="center"/>
          </w:tcPr>
          <w:p w:rsidR="000B1BFC" w:rsidRDefault="000B1BFC" w:rsidP="006C1074">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w:t>
            </w:r>
            <w:r>
              <w:rPr>
                <w:rFonts w:hint="eastAsia"/>
                <w:kern w:val="0"/>
                <w:szCs w:val="21"/>
              </w:rPr>
              <w:t>使用</w:t>
            </w:r>
            <w:r>
              <w:rPr>
                <w:kern w:val="0"/>
                <w:szCs w:val="21"/>
              </w:rPr>
              <w:t>台帐</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w:t>
            </w:r>
            <w:r>
              <w:rPr>
                <w:kern w:val="0"/>
                <w:szCs w:val="21"/>
              </w:rPr>
              <w:t>.2.2</w:t>
            </w:r>
          </w:p>
        </w:tc>
        <w:tc>
          <w:tcPr>
            <w:tcW w:w="3820" w:type="dxa"/>
            <w:shd w:val="clear" w:color="auto" w:fill="auto"/>
            <w:tcMar>
              <w:left w:w="45" w:type="dxa"/>
              <w:right w:w="45" w:type="dxa"/>
            </w:tcMar>
            <w:vAlign w:val="center"/>
          </w:tcPr>
          <w:p w:rsidR="000B1BFC" w:rsidRDefault="000B1BFC" w:rsidP="006C1074">
            <w:pPr>
              <w:widowControl/>
              <w:spacing w:line="300" w:lineRule="exact"/>
              <w:rPr>
                <w:szCs w:val="21"/>
              </w:rPr>
            </w:pPr>
            <w:r>
              <w:rPr>
                <w:rFonts w:hint="eastAsia"/>
                <w:szCs w:val="21"/>
              </w:rPr>
              <w:t>试剂药品有专用存放空间并科学有序存放</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8.2.3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实验室内存放的危险化学品总量符合规定要求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r>
              <w:rPr>
                <w:rFonts w:hint="eastAsia"/>
                <w:kern w:val="0"/>
                <w:szCs w:val="21"/>
              </w:rPr>
              <w:t>；</w:t>
            </w:r>
            <w:r>
              <w:rPr>
                <w:kern w:val="0"/>
                <w:szCs w:val="21"/>
              </w:rPr>
              <w:t>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8.2.4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化学品标签应有显著完整清晰</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8.3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实验</w:t>
            </w:r>
            <w:r>
              <w:rPr>
                <w:b/>
                <w:kern w:val="0"/>
                <w:szCs w:val="21"/>
              </w:rPr>
              <w:t>操作安全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8.3.</w:t>
            </w:r>
            <w:r>
              <w:rPr>
                <w:rFonts w:hint="eastAsia"/>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指导书、应急预案</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8.3.2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w:t>
            </w:r>
            <w:r>
              <w:rPr>
                <w:rFonts w:hint="eastAsia"/>
                <w:kern w:val="0"/>
                <w:szCs w:val="21"/>
              </w:rPr>
              <w:lastRenderedPageBreak/>
              <w:t>间断电源</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8.3.3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做好有毒和异味废气的收集和防护</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8.4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proofErr w:type="gramStart"/>
            <w:r>
              <w:rPr>
                <w:rFonts w:hint="eastAsia"/>
                <w:b/>
                <w:kern w:val="0"/>
                <w:szCs w:val="21"/>
              </w:rPr>
              <w:t>管控类化学品</w:t>
            </w:r>
            <w:proofErr w:type="gramEnd"/>
            <w:r>
              <w:rPr>
                <w:b/>
                <w:kern w:val="0"/>
                <w:szCs w:val="21"/>
              </w:rPr>
              <w:t>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8.4.1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易制毒品</w:t>
            </w:r>
            <w:r>
              <w:rPr>
                <w:rFonts w:hint="eastAsia"/>
                <w:kern w:val="0"/>
                <w:szCs w:val="21"/>
              </w:rPr>
              <w:t>、</w:t>
            </w:r>
            <w:proofErr w:type="gramStart"/>
            <w:r>
              <w:rPr>
                <w:rFonts w:hint="eastAsia"/>
                <w:kern w:val="0"/>
                <w:szCs w:val="21"/>
              </w:rPr>
              <w:t>易制爆品</w:t>
            </w:r>
            <w:r>
              <w:rPr>
                <w:kern w:val="0"/>
                <w:szCs w:val="21"/>
              </w:rPr>
              <w:t>分类</w:t>
            </w:r>
            <w:proofErr w:type="gramEnd"/>
            <w:r>
              <w:rPr>
                <w:kern w:val="0"/>
                <w:szCs w:val="21"/>
              </w:rPr>
              <w:t>存放、专人保管，做好领取、使用、处置记录</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实验气体管理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8.5.2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气体的存放和使用符合相关要求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设置必要的气体报警装置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需加装氧气含量报警</w:t>
            </w:r>
            <w:r>
              <w:rPr>
                <w:rFonts w:hint="eastAsia"/>
                <w:szCs w:val="21"/>
              </w:rPr>
              <w:t>表</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8.5.4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钢瓶帽；钢瓶中的气体是明确的，无过期钢瓶；确认“满、使用中、用完”三种状态；及时关闭气瓶总阀</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化学废弃物处置</w:t>
            </w:r>
            <w:r>
              <w:rPr>
                <w:rFonts w:hint="eastAsia"/>
                <w:b/>
                <w:kern w:val="0"/>
                <w:szCs w:val="21"/>
              </w:rPr>
              <w:t>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化学废弃物</w:t>
            </w:r>
            <w:r>
              <w:rPr>
                <w:rFonts w:hint="eastAsia"/>
                <w:kern w:val="0"/>
                <w:szCs w:val="21"/>
              </w:rPr>
              <w:t>由具备</w:t>
            </w:r>
            <w:r>
              <w:rPr>
                <w:kern w:val="0"/>
                <w:szCs w:val="21"/>
              </w:rPr>
              <w:t>资质的单位（企业）签约处置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学校有统一的化学实验废弃物标签</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配备化学实验废弃物分类容器</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b/>
                <w:bCs/>
                <w:kern w:val="0"/>
                <w:szCs w:val="21"/>
              </w:rPr>
              <w:t>8.7</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rFonts w:hint="eastAsia"/>
                <w:kern w:val="0"/>
                <w:szCs w:val="21"/>
              </w:rPr>
              <w:t>8.7.1</w:t>
            </w:r>
          </w:p>
        </w:tc>
        <w:tc>
          <w:tcPr>
            <w:tcW w:w="3820" w:type="dxa"/>
            <w:shd w:val="clear" w:color="auto" w:fill="auto"/>
            <w:tcMar>
              <w:left w:w="45" w:type="dxa"/>
              <w:right w:w="45" w:type="dxa"/>
            </w:tcMar>
            <w:vAlign w:val="center"/>
          </w:tcPr>
          <w:p w:rsidR="000B1BFC" w:rsidRDefault="000B1BFC" w:rsidP="006C1074">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其它化学安全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学校有统一的试剂标签</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不使用破损量筒、试管等玻璃器皿</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8</w:t>
            </w:r>
            <w:r>
              <w:rPr>
                <w:rFonts w:hint="eastAsia"/>
                <w:kern w:val="0"/>
                <w:szCs w:val="21"/>
              </w:rPr>
              <w:t>.8</w:t>
            </w:r>
            <w:r>
              <w:rPr>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盛放配置试剂的烧杯、烧瓶不得无盖放置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查看现场</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9</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生物安全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9.1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实验室资质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开展病原微生物实验须向卫生或农业主管部门申报备案</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9.1.3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在规定等级实验室中开展涉及</w:t>
            </w:r>
            <w:r>
              <w:rPr>
                <w:kern w:val="0"/>
                <w:szCs w:val="21"/>
              </w:rPr>
              <w:t>致病性病原微生物</w:t>
            </w:r>
            <w:r>
              <w:rPr>
                <w:rFonts w:hint="eastAsia"/>
                <w:kern w:val="0"/>
                <w:szCs w:val="21"/>
              </w:rPr>
              <w:t>的实验</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9.2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场所与设施</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9.2.1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9.2.</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9.3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b/>
                <w:bCs/>
                <w:kern w:val="0"/>
                <w:szCs w:val="21"/>
              </w:rPr>
              <w:t>病原微生物采购与保管</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9.</w:t>
            </w:r>
            <w:r>
              <w:rPr>
                <w:kern w:val="0"/>
                <w:szCs w:val="21"/>
              </w:rPr>
              <w:t>3</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9.4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人员</w:t>
            </w:r>
            <w:r>
              <w:rPr>
                <w:b/>
                <w:kern w:val="0"/>
                <w:szCs w:val="21"/>
              </w:rPr>
              <w:t>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9.4.1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开展病原微生物相关实验和研究的人员经过专业培训</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9.4.2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szCs w:val="21"/>
              </w:rPr>
            </w:pPr>
            <w:r>
              <w:rPr>
                <w:rFonts w:hint="eastAsia"/>
                <w:szCs w:val="21"/>
              </w:rPr>
              <w:t>为从事高致病性病原微生物的工作人员提供适宜的医学评估</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9.4.3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szCs w:val="21"/>
              </w:rPr>
            </w:pPr>
            <w:r>
              <w:rPr>
                <w:rFonts w:hint="eastAsia"/>
                <w:szCs w:val="21"/>
              </w:rPr>
              <w:t>制定相应的人员准入制度</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9.5</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操作与管理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9.5.1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制定并采用生物安全手册，有相关标准操作规范</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9.5.2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开展相关实验活动的风险评估和应急预案</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9.5.3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9.6</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实验</w:t>
            </w:r>
            <w:r>
              <w:rPr>
                <w:b/>
                <w:kern w:val="0"/>
                <w:szCs w:val="21"/>
              </w:rPr>
              <w:t>动物安全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9.6.1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9.6.2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w:t>
            </w:r>
            <w:r>
              <w:rPr>
                <w:kern w:val="0"/>
                <w:szCs w:val="21"/>
              </w:rPr>
              <w:lastRenderedPageBreak/>
              <w:t>动物权益</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lastRenderedPageBreak/>
              <w:t>查看记录</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lastRenderedPageBreak/>
              <w:t>9.7</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生物实验废物处置</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9.7.1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生化废弃物的处置应有专用集中场所</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9.7.2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生化废弃物的处置应满足特殊要求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10</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辐射安全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10.1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实验室资质与人员要求</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10.1.1</w:t>
            </w:r>
          </w:p>
        </w:tc>
        <w:tc>
          <w:tcPr>
            <w:tcW w:w="3820" w:type="dxa"/>
            <w:shd w:val="clear" w:color="auto" w:fill="auto"/>
            <w:tcMar>
              <w:left w:w="45" w:type="dxa"/>
              <w:right w:w="45" w:type="dxa"/>
            </w:tcMar>
            <w:vAlign w:val="center"/>
          </w:tcPr>
          <w:p w:rsidR="000B1BFC" w:rsidRDefault="000B1BFC" w:rsidP="006C1074">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并按规定在放射性核素种类和用量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10.1.</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须</w:t>
            </w:r>
            <w:r>
              <w:rPr>
                <w:kern w:val="0"/>
                <w:szCs w:val="21"/>
              </w:rPr>
              <w:t>经过专门培训</w:t>
            </w:r>
            <w:r>
              <w:rPr>
                <w:rFonts w:hint="eastAsia"/>
                <w:kern w:val="0"/>
                <w:szCs w:val="21"/>
              </w:rPr>
              <w:t>，定期参加职业体检</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渉</w:t>
            </w:r>
            <w:proofErr w:type="gramStart"/>
            <w:r>
              <w:rPr>
                <w:rFonts w:hint="eastAsia"/>
                <w:kern w:val="0"/>
                <w:szCs w:val="21"/>
              </w:rPr>
              <w:t>源人员</w:t>
            </w:r>
            <w:proofErr w:type="gramEnd"/>
            <w:r>
              <w:rPr>
                <w:rFonts w:hint="eastAsia"/>
                <w:kern w:val="0"/>
                <w:szCs w:val="21"/>
              </w:rPr>
              <w:t>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10.2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场所设施</w:t>
            </w:r>
            <w:r>
              <w:rPr>
                <w:rFonts w:hint="eastAsia"/>
                <w:b/>
                <w:kern w:val="0"/>
                <w:szCs w:val="21"/>
              </w:rPr>
              <w:t>与采购运输</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10.2.1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辐射设施和场所应设有警示、连锁和报警装置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10.2.</w:t>
            </w:r>
            <w:r>
              <w:rPr>
                <w:rFonts w:hint="eastAsia"/>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lastRenderedPageBreak/>
              <w:t>10.2.</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学校设</w:t>
            </w:r>
            <w:r>
              <w:rPr>
                <w:kern w:val="0"/>
                <w:szCs w:val="21"/>
              </w:rPr>
              <w:t>有专门存放放射性废弃物的容器和暂存库</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10.2.4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10.3.1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重点关注</w:t>
            </w:r>
            <w:r>
              <w:rPr>
                <w:kern w:val="0"/>
                <w:szCs w:val="21"/>
              </w:rPr>
              <w:t>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 xml:space="preserve"> </w:t>
            </w:r>
            <w:r>
              <w:rPr>
                <w:kern w:val="0"/>
                <w:szCs w:val="21"/>
              </w:rPr>
              <w:t xml:space="preserve">    </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10.3.2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机电等</w:t>
            </w:r>
            <w:r>
              <w:rPr>
                <w:b/>
                <w:kern w:val="0"/>
                <w:szCs w:val="21"/>
              </w:rPr>
              <w:t>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11.1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仪器设备</w:t>
            </w:r>
            <w:r>
              <w:rPr>
                <w:b/>
                <w:kern w:val="0"/>
                <w:szCs w:val="21"/>
              </w:rPr>
              <w:t>常规管理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w:t>
            </w:r>
            <w:r>
              <w:rPr>
                <w:kern w:val="0"/>
                <w:szCs w:val="21"/>
              </w:rPr>
              <w:t>.1.1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1.1.2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大型、特种设备的使用需符合相关规定</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1.1.3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仪器设备的接电和用电符合相关要求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szCs w:val="21"/>
              </w:rPr>
              <w:t>仪器设备接地系统应按规范要求，采用铜质材料，且设计寿命不应低于</w:t>
            </w:r>
            <w:r>
              <w:rPr>
                <w:rFonts w:hint="eastAsia"/>
                <w:szCs w:val="21"/>
              </w:rPr>
              <w:t>50</w:t>
            </w:r>
            <w:r>
              <w:rPr>
                <w:rFonts w:hint="eastAsia"/>
                <w:szCs w:val="21"/>
              </w:rPr>
              <w:t>年，接地电阻不高于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对于不能断电的特殊仪器设备，采取了必要的防护措施（如双路供电、不间断电源、监控报警等）</w:t>
            </w:r>
            <w:r>
              <w:rPr>
                <w:rFonts w:hint="eastAsia"/>
                <w:kern w:val="0"/>
                <w:szCs w:val="21"/>
              </w:rPr>
              <w:t>，昼夜工作的设备建议有实时监控设施</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lastRenderedPageBreak/>
              <w:t>11.1.4</w:t>
            </w:r>
          </w:p>
        </w:tc>
        <w:tc>
          <w:tcPr>
            <w:tcW w:w="3820" w:type="dxa"/>
            <w:shd w:val="clear" w:color="auto" w:fill="auto"/>
            <w:tcMar>
              <w:left w:w="45" w:type="dxa"/>
              <w:right w:w="45" w:type="dxa"/>
            </w:tcMar>
            <w:vAlign w:val="center"/>
          </w:tcPr>
          <w:p w:rsidR="000B1BFC" w:rsidRDefault="000B1BFC" w:rsidP="006C1074">
            <w:pPr>
              <w:spacing w:line="300" w:lineRule="exact"/>
              <w:rPr>
                <w:szCs w:val="21"/>
              </w:rPr>
            </w:pPr>
            <w:r>
              <w:rPr>
                <w:rFonts w:hint="eastAsia"/>
                <w:szCs w:val="21"/>
              </w:rPr>
              <w:t>特殊设备应配备相应安全防护措施</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对于超高速离心机，需要放置在离心室</w:t>
            </w:r>
            <w:r>
              <w:rPr>
                <w:rFonts w:hint="eastAsia"/>
                <w:szCs w:val="21"/>
              </w:rPr>
              <w:t>；</w:t>
            </w: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11.2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11.2.1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机械设备应保持清洁整齐，可靠接地</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关注要点：机床应保持清洁整齐；严禁在床头、床面、刀架上</w:t>
            </w:r>
            <w:proofErr w:type="gramStart"/>
            <w:r>
              <w:rPr>
                <w:rFonts w:hint="eastAsia"/>
                <w:kern w:val="0"/>
                <w:szCs w:val="21"/>
              </w:rPr>
              <w:t>放一切</w:t>
            </w:r>
            <w:proofErr w:type="gramEnd"/>
            <w:r>
              <w:rPr>
                <w:rFonts w:hint="eastAsia"/>
                <w:kern w:val="0"/>
                <w:szCs w:val="21"/>
              </w:rPr>
              <w:t>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11.2.2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操作机械设备时实验人员应做好个人防护</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11.2.3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spacing w:line="300" w:lineRule="exact"/>
              <w:rPr>
                <w:szCs w:val="21"/>
              </w:rPr>
            </w:pPr>
            <w:r>
              <w:rPr>
                <w:rFonts w:hint="eastAsia"/>
                <w:kern w:val="0"/>
                <w:szCs w:val="21"/>
              </w:rPr>
              <w:t>11.2.4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高空作业应符合相关操作规程</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11.3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11.3.1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电气设备的使用应符合用电安全规范</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关注要点：电气设备所用的保险丝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w:t>
            </w:r>
            <w:r>
              <w:rPr>
                <w:rFonts w:hint="eastAsia"/>
                <w:kern w:val="0"/>
                <w:szCs w:val="21"/>
              </w:rPr>
              <w:lastRenderedPageBreak/>
              <w:t>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强电实验室禁止存放易燃、易爆、易腐品，保持通风散热；照明灯应从总开阀上端引出，必须配备干粉灭火器、黄砂箱、铁锹等；应为设备配备残余电流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11.3.2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操作电气设备应配备合适的防护器具</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静电场所，要保持空气湿润，工作人员要穿防静电的衣服和鞋靴；禁止穿着化纤制品等服饰</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11.4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11.4.1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1.4.2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bCs/>
                <w:kern w:val="0"/>
                <w:szCs w:val="21"/>
              </w:rPr>
              <w:t>激光实验时须佩戴合适的个人防护用具</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11.5</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11.5.1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11.5.2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产生粉尘的实验场所，须穿戴合适的个人防护用具</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11.5.3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保证实验室粉尘浓度在爆炸限以下，并配备合适的灭火装置</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禁用干粉、水剂型和泡沫型灭火器；粉尘浓度较高的场所，有加湿装置（喷雾）使湿度在</w:t>
            </w:r>
            <w:r>
              <w:rPr>
                <w:rFonts w:hint="eastAsia"/>
                <w:kern w:val="0"/>
                <w:szCs w:val="21"/>
              </w:rPr>
              <w:t>65%</w:t>
            </w:r>
            <w:r>
              <w:rPr>
                <w:rFonts w:hint="eastAsia"/>
                <w:kern w:val="0"/>
                <w:szCs w:val="21"/>
              </w:rPr>
              <w:t>以上</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12.1</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起重类</w:t>
            </w:r>
            <w:r>
              <w:rPr>
                <w:b/>
                <w:kern w:val="0"/>
                <w:szCs w:val="21"/>
              </w:rPr>
              <w:t>设备</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12.1</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12.1</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12.1</w:t>
            </w:r>
            <w:r>
              <w:rPr>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起重机械需定期保养，设置警示标示，安装防护设施</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0B1BFC" w:rsidRDefault="000B1BFC" w:rsidP="006C1074">
            <w:pPr>
              <w:widowControl/>
              <w:spacing w:line="300" w:lineRule="exact"/>
              <w:jc w:val="center"/>
              <w:rPr>
                <w:b/>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12.2</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压力容器</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12.2</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12.2.2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压力容器的存放区域合理，有安全警示标识</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放置在室外，周围设置隔离装置、安全警示标识；可燃性性</w:t>
            </w:r>
            <w:r>
              <w:rPr>
                <w:kern w:val="0"/>
                <w:szCs w:val="21"/>
              </w:rPr>
              <w:t>气罐远离火源热源</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存储可燃、爆炸性气体的气罐满足防爆要求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容器的电器开关和熔断器都应设置在明显位置，同时应设避雷装置；电气设施是否防爆，避雷装置是否接地</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12.2.</w:t>
            </w:r>
            <w:r>
              <w:rPr>
                <w:rFonts w:hint="eastAsia"/>
                <w:kern w:val="0"/>
                <w:szCs w:val="21"/>
              </w:rPr>
              <w:t>5</w:t>
            </w:r>
          </w:p>
        </w:tc>
        <w:tc>
          <w:tcPr>
            <w:tcW w:w="3820"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rFonts w:hint="eastAsia"/>
                <w:kern w:val="0"/>
                <w:szCs w:val="21"/>
              </w:rPr>
              <w:t>压力容器应有专用管理制度和操作规程，实行使用登记</w:t>
            </w:r>
          </w:p>
        </w:tc>
        <w:tc>
          <w:tcPr>
            <w:tcW w:w="7374" w:type="dxa"/>
            <w:shd w:val="clear" w:color="auto" w:fill="auto"/>
            <w:tcMar>
              <w:left w:w="45" w:type="dxa"/>
              <w:right w:w="45" w:type="dxa"/>
            </w:tcMar>
            <w:vAlign w:val="center"/>
          </w:tcPr>
          <w:p w:rsidR="000B1BFC" w:rsidRDefault="000B1BFC" w:rsidP="006C1074">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12.3</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场（厂）内专用机动车辆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12.3</w:t>
            </w:r>
            <w:r>
              <w:rPr>
                <w:kern w:val="0"/>
                <w:szCs w:val="21"/>
              </w:rPr>
              <w:t>.1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取得《厂内机动车辆监督检验报告》</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p>
        </w:tc>
        <w:tc>
          <w:tcPr>
            <w:tcW w:w="2829" w:type="dxa"/>
            <w:tcMar>
              <w:left w:w="45" w:type="dxa"/>
              <w:right w:w="45" w:type="dxa"/>
            </w:tcMar>
            <w:vAlign w:val="center"/>
          </w:tcPr>
          <w:p w:rsidR="000B1BFC" w:rsidRDefault="000B1BFC" w:rsidP="006C1074">
            <w:pPr>
              <w:widowControl/>
              <w:spacing w:line="300" w:lineRule="exact"/>
              <w:jc w:val="center"/>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12.3</w:t>
            </w:r>
            <w:r>
              <w:rPr>
                <w:kern w:val="0"/>
                <w:szCs w:val="21"/>
              </w:rPr>
              <w:t>.2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lastRenderedPageBreak/>
              <w:t>持证上岗</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b/>
                <w:bCs/>
                <w:kern w:val="0"/>
                <w:szCs w:val="21"/>
              </w:rPr>
            </w:pPr>
            <w:r>
              <w:rPr>
                <w:rFonts w:hint="eastAsia"/>
                <w:kern w:val="0"/>
                <w:szCs w:val="21"/>
              </w:rPr>
              <w:lastRenderedPageBreak/>
              <w:t>证书在有效期内</w:t>
            </w:r>
          </w:p>
        </w:tc>
        <w:tc>
          <w:tcPr>
            <w:tcW w:w="2829" w:type="dxa"/>
            <w:tcMar>
              <w:left w:w="45" w:type="dxa"/>
              <w:right w:w="45" w:type="dxa"/>
            </w:tcMar>
            <w:vAlign w:val="center"/>
          </w:tcPr>
          <w:p w:rsidR="000B1BFC" w:rsidRDefault="000B1BFC" w:rsidP="006C1074">
            <w:pPr>
              <w:widowControl/>
              <w:spacing w:line="300" w:lineRule="exact"/>
              <w:jc w:val="center"/>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lastRenderedPageBreak/>
              <w:t>12.3</w:t>
            </w:r>
            <w:r>
              <w:rPr>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委托有资质单位进行定期检验</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0B1BFC" w:rsidRDefault="000B1BFC" w:rsidP="006C1074">
            <w:pPr>
              <w:widowControl/>
              <w:spacing w:line="300" w:lineRule="exact"/>
              <w:jc w:val="center"/>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shd w:val="clear" w:color="auto" w:fill="auto"/>
            <w:tcMar>
              <w:left w:w="45" w:type="dxa"/>
              <w:right w:w="45" w:type="dxa"/>
            </w:tcMar>
            <w:vAlign w:val="center"/>
          </w:tcPr>
          <w:p w:rsidR="000B1BFC" w:rsidRDefault="000B1BFC" w:rsidP="006C1074">
            <w:pPr>
              <w:widowControl/>
              <w:spacing w:line="300" w:lineRule="exact"/>
              <w:jc w:val="left"/>
              <w:rPr>
                <w:b/>
                <w:kern w:val="0"/>
                <w:szCs w:val="21"/>
              </w:rPr>
            </w:pPr>
            <w:r>
              <w:rPr>
                <w:rFonts w:hint="eastAsia"/>
                <w:b/>
                <w:kern w:val="0"/>
                <w:szCs w:val="21"/>
              </w:rPr>
              <w:t>加热及制冷装置</w:t>
            </w:r>
            <w:r>
              <w:rPr>
                <w:b/>
                <w:kern w:val="0"/>
                <w:szCs w:val="21"/>
              </w:rPr>
              <w:t>管理</w:t>
            </w: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w:t>
            </w:r>
            <w:r>
              <w:rPr>
                <w:kern w:val="0"/>
                <w:szCs w:val="21"/>
              </w:rPr>
              <w:t>4.1</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w:t>
            </w:r>
            <w:r>
              <w:rPr>
                <w:kern w:val="0"/>
                <w:szCs w:val="21"/>
              </w:rPr>
              <w:t>4.2</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标识至少包括：</w:t>
            </w:r>
            <w:r>
              <w:rPr>
                <w:kern w:val="0"/>
                <w:szCs w:val="21"/>
              </w:rPr>
              <w:t>品名、使用人、日期等，并经常清理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0B1BFC" w:rsidRDefault="000B1BFC" w:rsidP="006C1074">
            <w:pPr>
              <w:widowControl/>
              <w:spacing w:line="300" w:lineRule="exact"/>
              <w:jc w:val="left"/>
              <w:rPr>
                <w:bCs/>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12.4.4</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r w:rsidR="000B1BFC" w:rsidTr="006C1074">
        <w:trPr>
          <w:trHeight w:val="369"/>
          <w:jc w:val="center"/>
        </w:trPr>
        <w:tc>
          <w:tcPr>
            <w:tcW w:w="848"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shd w:val="clear" w:color="auto" w:fill="auto"/>
            <w:tcMar>
              <w:left w:w="45" w:type="dxa"/>
              <w:right w:w="45" w:type="dxa"/>
            </w:tcMar>
            <w:vAlign w:val="center"/>
          </w:tcPr>
          <w:p w:rsidR="000B1BFC" w:rsidRDefault="000B1BFC" w:rsidP="006C1074">
            <w:pPr>
              <w:widowControl/>
              <w:spacing w:line="300" w:lineRule="exact"/>
              <w:jc w:val="left"/>
              <w:rPr>
                <w:szCs w:val="21"/>
              </w:rPr>
            </w:pPr>
            <w:r>
              <w:rPr>
                <w:rFonts w:hint="eastAsia"/>
                <w:kern w:val="0"/>
                <w:szCs w:val="21"/>
              </w:rPr>
              <w:t>使用明火电炉或者电吹风须有安全防范举措</w:t>
            </w:r>
          </w:p>
        </w:tc>
        <w:tc>
          <w:tcPr>
            <w:tcW w:w="7374" w:type="dxa"/>
            <w:shd w:val="clear" w:color="auto" w:fill="auto"/>
            <w:tcMar>
              <w:left w:w="45" w:type="dxa"/>
              <w:right w:w="45" w:type="dxa"/>
            </w:tcMar>
            <w:vAlign w:val="center"/>
          </w:tcPr>
          <w:p w:rsidR="000B1BFC" w:rsidRDefault="000B1BFC" w:rsidP="006C1074">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rFonts w:hint="eastAsia"/>
                <w:kern w:val="0"/>
                <w:szCs w:val="21"/>
              </w:rPr>
              <w:t>；</w:t>
            </w:r>
            <w:r>
              <w:rPr>
                <w:kern w:val="0"/>
                <w:szCs w:val="21"/>
              </w:rPr>
              <w:t>有许可证使用明火电炉的，其使用位置周围无易燃物品，并配备了灭火器、砂桶等灭火设施</w:t>
            </w:r>
            <w:r>
              <w:rPr>
                <w:rFonts w:hint="eastAsia"/>
                <w:kern w:val="0"/>
                <w:szCs w:val="21"/>
              </w:rPr>
              <w:t>；</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0B1BFC" w:rsidRDefault="000B1BFC" w:rsidP="006C1074">
            <w:pPr>
              <w:widowControl/>
              <w:spacing w:line="300" w:lineRule="exact"/>
              <w:jc w:val="left"/>
              <w:rPr>
                <w:kern w:val="0"/>
                <w:szCs w:val="21"/>
              </w:rPr>
            </w:pPr>
          </w:p>
        </w:tc>
      </w:tr>
    </w:tbl>
    <w:p w:rsidR="00F71A59" w:rsidRPr="00C44803" w:rsidRDefault="00D02F67" w:rsidP="00C44803">
      <w:pPr>
        <w:snapToGrid w:val="0"/>
        <w:spacing w:line="600" w:lineRule="exact"/>
        <w:rPr>
          <w:rStyle w:val="a7"/>
          <w:rFonts w:asciiTheme="minorEastAsia" w:hAnsiTheme="minorEastAsia"/>
          <w:b w:val="0"/>
          <w:bCs w:val="0"/>
          <w:sz w:val="28"/>
          <w:szCs w:val="28"/>
        </w:rPr>
      </w:pPr>
      <w:r w:rsidRPr="00D02F67">
        <w:rPr>
          <w:rFonts w:eastAsia="方正仿宋简体"/>
          <w:noProof/>
          <w:sz w:val="30"/>
          <w:szCs w:val="32"/>
        </w:rPr>
        <w:pict>
          <v:shapetype id="_x0000_t202" coordsize="21600,21600" o:spt="202" path="m,l,21600r21600,l21600,xe">
            <v:stroke joinstyle="miter"/>
            <v:path gradientshapeok="t" o:connecttype="rect"/>
          </v:shapetype>
          <v:shape id="Text Box 155" o:spid="_x0000_s2050" type="#_x0000_t202" style="position:absolute;left:0;text-align:left;margin-left:356.5pt;margin-top:639.4pt;width:83.5pt;height:33.6pt;z-index:251660288;mso-position-horizontal-relative:text;mso-position-vertical-relative:text" stroked="f">
            <v:textbox style="mso-next-textbox:#Text Box 155">
              <w:txbxContent>
                <w:p w:rsidR="006C1074" w:rsidRDefault="006C1074" w:rsidP="00BF33EB"/>
              </w:txbxContent>
            </v:textbox>
          </v:shape>
        </w:pict>
      </w:r>
    </w:p>
    <w:p w:rsidR="00941446" w:rsidRPr="004143B5" w:rsidRDefault="00941446" w:rsidP="00941446">
      <w:pPr>
        <w:pStyle w:val="a6"/>
        <w:shd w:val="clear" w:color="auto" w:fill="FFFFFF"/>
        <w:spacing w:before="0" w:beforeAutospacing="0" w:after="0" w:afterAutospacing="0" w:line="500" w:lineRule="exact"/>
        <w:rPr>
          <w:rStyle w:val="a7"/>
          <w:rFonts w:asciiTheme="minorEastAsia" w:eastAsiaTheme="minorEastAsia" w:hAnsiTheme="minorEastAsia" w:cstheme="minorEastAsia"/>
          <w:b w:val="0"/>
          <w:color w:val="000000"/>
          <w:sz w:val="28"/>
          <w:szCs w:val="28"/>
        </w:rPr>
      </w:pPr>
      <w:r w:rsidRPr="004143B5">
        <w:rPr>
          <w:rStyle w:val="a7"/>
          <w:rFonts w:asciiTheme="minorEastAsia" w:eastAsiaTheme="minorEastAsia" w:hAnsiTheme="minorEastAsia" w:cstheme="minorEastAsia" w:hint="eastAsia"/>
          <w:b w:val="0"/>
          <w:color w:val="000000"/>
          <w:sz w:val="28"/>
          <w:szCs w:val="28"/>
        </w:rPr>
        <w:lastRenderedPageBreak/>
        <w:t>附件</w:t>
      </w:r>
      <w:r w:rsidR="00E12521">
        <w:rPr>
          <w:rStyle w:val="a7"/>
          <w:rFonts w:asciiTheme="minorEastAsia" w:eastAsiaTheme="minorEastAsia" w:hAnsiTheme="minorEastAsia" w:cstheme="minorEastAsia" w:hint="eastAsia"/>
          <w:b w:val="0"/>
          <w:color w:val="000000"/>
          <w:sz w:val="28"/>
          <w:szCs w:val="28"/>
        </w:rPr>
        <w:t>2</w:t>
      </w:r>
      <w:r w:rsidRPr="004143B5">
        <w:rPr>
          <w:rStyle w:val="a7"/>
          <w:rFonts w:asciiTheme="minorEastAsia" w:eastAsiaTheme="minorEastAsia" w:hAnsiTheme="minorEastAsia" w:cstheme="minorEastAsia" w:hint="eastAsia"/>
          <w:b w:val="0"/>
          <w:color w:val="000000"/>
          <w:sz w:val="28"/>
          <w:szCs w:val="28"/>
        </w:rPr>
        <w:t>：</w:t>
      </w:r>
    </w:p>
    <w:p w:rsidR="00941446" w:rsidRDefault="00941446" w:rsidP="00941446">
      <w:pPr>
        <w:pStyle w:val="a6"/>
        <w:shd w:val="clear" w:color="auto" w:fill="FFFFFF"/>
        <w:spacing w:before="0" w:beforeAutospacing="0" w:after="0" w:afterAutospacing="0" w:line="500" w:lineRule="exact"/>
        <w:jc w:val="center"/>
        <w:rPr>
          <w:rStyle w:val="a7"/>
          <w:rFonts w:asciiTheme="minorEastAsia" w:eastAsiaTheme="minorEastAsia" w:hAnsiTheme="minorEastAsia" w:cstheme="minorEastAsia"/>
          <w:color w:val="000000"/>
          <w:sz w:val="32"/>
          <w:szCs w:val="32"/>
        </w:rPr>
      </w:pPr>
      <w:r>
        <w:rPr>
          <w:rStyle w:val="a7"/>
          <w:rFonts w:asciiTheme="minorEastAsia" w:eastAsiaTheme="minorEastAsia" w:hAnsiTheme="minorEastAsia" w:cstheme="minorEastAsia" w:hint="eastAsia"/>
          <w:color w:val="000000"/>
          <w:sz w:val="32"/>
          <w:szCs w:val="32"/>
        </w:rPr>
        <w:t>石河子大学</w:t>
      </w:r>
      <w:r>
        <w:rPr>
          <w:rStyle w:val="a7"/>
          <w:rFonts w:asciiTheme="minorEastAsia" w:eastAsiaTheme="minorEastAsia" w:hAnsiTheme="minorEastAsia" w:cstheme="minorEastAsia" w:hint="eastAsia"/>
          <w:color w:val="FF0000"/>
          <w:sz w:val="32"/>
          <w:szCs w:val="32"/>
        </w:rPr>
        <w:t>**</w:t>
      </w:r>
      <w:r>
        <w:rPr>
          <w:rStyle w:val="a7"/>
          <w:rFonts w:asciiTheme="minorEastAsia" w:eastAsiaTheme="minorEastAsia" w:hAnsiTheme="minorEastAsia" w:cstheme="minorEastAsia" w:hint="eastAsia"/>
          <w:color w:val="000000"/>
          <w:sz w:val="32"/>
          <w:szCs w:val="32"/>
        </w:rPr>
        <w:t>学院201</w:t>
      </w:r>
      <w:r w:rsidR="00E12521">
        <w:rPr>
          <w:rStyle w:val="a7"/>
          <w:rFonts w:asciiTheme="minorEastAsia" w:eastAsiaTheme="minorEastAsia" w:hAnsiTheme="minorEastAsia" w:cstheme="minorEastAsia" w:hint="eastAsia"/>
          <w:color w:val="000000"/>
          <w:sz w:val="32"/>
          <w:szCs w:val="32"/>
        </w:rPr>
        <w:t>9</w:t>
      </w:r>
      <w:r>
        <w:rPr>
          <w:rStyle w:val="a7"/>
          <w:rFonts w:asciiTheme="minorEastAsia" w:eastAsiaTheme="minorEastAsia" w:hAnsiTheme="minorEastAsia" w:cstheme="minorEastAsia" w:hint="eastAsia"/>
          <w:color w:val="000000"/>
          <w:sz w:val="32"/>
          <w:szCs w:val="32"/>
        </w:rPr>
        <w:t>年暑期开放运行实验室统计表</w:t>
      </w:r>
    </w:p>
    <w:p w:rsidR="009E69C8" w:rsidRPr="00C44803" w:rsidRDefault="00C42F1A" w:rsidP="009E69C8">
      <w:pPr>
        <w:pStyle w:val="a6"/>
        <w:shd w:val="clear" w:color="auto" w:fill="FFFFFF"/>
        <w:spacing w:before="0" w:beforeAutospacing="0" w:after="0" w:afterAutospacing="0" w:line="500" w:lineRule="exact"/>
        <w:rPr>
          <w:rStyle w:val="a7"/>
          <w:rFonts w:asciiTheme="minorEastAsia" w:eastAsiaTheme="minorEastAsia" w:hAnsiTheme="minorEastAsia" w:cstheme="minorEastAsia"/>
          <w:color w:val="000000"/>
          <w:sz w:val="21"/>
          <w:szCs w:val="21"/>
          <w:u w:val="single"/>
        </w:rPr>
      </w:pPr>
      <w:r w:rsidRPr="00C44803">
        <w:rPr>
          <w:rStyle w:val="a7"/>
          <w:rFonts w:asciiTheme="minorEastAsia" w:eastAsiaTheme="minorEastAsia" w:hAnsiTheme="minorEastAsia" w:cstheme="minorEastAsia" w:hint="eastAsia"/>
          <w:color w:val="000000"/>
          <w:sz w:val="21"/>
          <w:szCs w:val="21"/>
        </w:rPr>
        <w:t>单位（盖章）</w:t>
      </w:r>
      <w:r w:rsidR="009E69C8" w:rsidRPr="00C44803">
        <w:rPr>
          <w:rStyle w:val="a7"/>
          <w:rFonts w:asciiTheme="minorEastAsia" w:eastAsiaTheme="minorEastAsia" w:hAnsiTheme="minorEastAsia" w:cstheme="minorEastAsia" w:hint="eastAsia"/>
          <w:color w:val="000000"/>
          <w:sz w:val="21"/>
          <w:szCs w:val="21"/>
        </w:rPr>
        <w:t>：</w:t>
      </w:r>
      <w:r w:rsidR="009E69C8" w:rsidRPr="00C44803">
        <w:rPr>
          <w:rStyle w:val="a7"/>
          <w:rFonts w:asciiTheme="minorEastAsia" w:eastAsiaTheme="minorEastAsia" w:hAnsiTheme="minorEastAsia" w:cstheme="minorEastAsia" w:hint="eastAsia"/>
          <w:color w:val="000000"/>
          <w:sz w:val="21"/>
          <w:szCs w:val="21"/>
          <w:u w:val="single"/>
        </w:rPr>
        <w:t xml:space="preserve">             </w:t>
      </w:r>
      <w:r w:rsidR="009E69C8" w:rsidRPr="00C44803">
        <w:rPr>
          <w:rStyle w:val="a7"/>
          <w:rFonts w:asciiTheme="minorEastAsia" w:eastAsiaTheme="minorEastAsia" w:hAnsiTheme="minorEastAsia" w:cstheme="minorEastAsia" w:hint="eastAsia"/>
          <w:color w:val="000000"/>
          <w:sz w:val="21"/>
          <w:szCs w:val="21"/>
        </w:rPr>
        <w:t xml:space="preserve">      </w:t>
      </w:r>
      <w:r w:rsidRPr="00C44803">
        <w:rPr>
          <w:rStyle w:val="a7"/>
          <w:rFonts w:asciiTheme="minorEastAsia" w:eastAsiaTheme="minorEastAsia" w:hAnsiTheme="minorEastAsia" w:cstheme="minorEastAsia" w:hint="eastAsia"/>
          <w:color w:val="000000"/>
          <w:sz w:val="21"/>
          <w:szCs w:val="21"/>
        </w:rPr>
        <w:t xml:space="preserve"> 报送人：</w:t>
      </w:r>
      <w:r w:rsidRPr="00C44803">
        <w:rPr>
          <w:rStyle w:val="a7"/>
          <w:rFonts w:asciiTheme="minorEastAsia" w:eastAsiaTheme="minorEastAsia" w:hAnsiTheme="minorEastAsia" w:cstheme="minorEastAsia" w:hint="eastAsia"/>
          <w:color w:val="000000"/>
          <w:sz w:val="21"/>
          <w:szCs w:val="21"/>
          <w:u w:val="single"/>
        </w:rPr>
        <w:t xml:space="preserve"> </w:t>
      </w:r>
      <w:r w:rsidR="00C44803">
        <w:rPr>
          <w:rStyle w:val="a7"/>
          <w:rFonts w:asciiTheme="minorEastAsia" w:eastAsiaTheme="minorEastAsia" w:hAnsiTheme="minorEastAsia" w:cstheme="minorEastAsia" w:hint="eastAsia"/>
          <w:color w:val="000000"/>
          <w:sz w:val="21"/>
          <w:szCs w:val="21"/>
          <w:u w:val="single"/>
        </w:rPr>
        <w:t>姓名</w:t>
      </w:r>
      <w:r w:rsidRPr="00C44803">
        <w:rPr>
          <w:rStyle w:val="a7"/>
          <w:rFonts w:asciiTheme="minorEastAsia" w:eastAsiaTheme="minorEastAsia" w:hAnsiTheme="minorEastAsia" w:cstheme="minorEastAsia" w:hint="eastAsia"/>
          <w:color w:val="000000"/>
          <w:sz w:val="21"/>
          <w:szCs w:val="21"/>
          <w:u w:val="single"/>
        </w:rPr>
        <w:t xml:space="preserve">           </w:t>
      </w:r>
      <w:r w:rsidR="00C44803">
        <w:rPr>
          <w:rStyle w:val="a7"/>
          <w:rFonts w:asciiTheme="minorEastAsia" w:eastAsiaTheme="minorEastAsia" w:hAnsiTheme="minorEastAsia" w:cstheme="minorEastAsia" w:hint="eastAsia"/>
          <w:color w:val="000000"/>
          <w:sz w:val="21"/>
          <w:szCs w:val="21"/>
          <w:u w:val="single"/>
        </w:rPr>
        <w:t xml:space="preserve">联系方式              </w:t>
      </w:r>
      <w:r w:rsidRPr="00C44803">
        <w:rPr>
          <w:rStyle w:val="a7"/>
          <w:rFonts w:asciiTheme="minorEastAsia" w:eastAsiaTheme="minorEastAsia" w:hAnsiTheme="minorEastAsia" w:cstheme="minorEastAsia" w:hint="eastAsia"/>
          <w:color w:val="000000"/>
          <w:sz w:val="21"/>
          <w:szCs w:val="21"/>
          <w:u w:val="single"/>
        </w:rPr>
        <w:t xml:space="preserve"> </w:t>
      </w:r>
      <w:r w:rsidRPr="00C44803">
        <w:rPr>
          <w:rStyle w:val="a7"/>
          <w:rFonts w:asciiTheme="minorEastAsia" w:eastAsiaTheme="minorEastAsia" w:hAnsiTheme="minorEastAsia" w:cstheme="minorEastAsia" w:hint="eastAsia"/>
          <w:color w:val="000000"/>
          <w:sz w:val="21"/>
          <w:szCs w:val="21"/>
        </w:rPr>
        <w:t xml:space="preserve">      分管实验室院领导签字：</w:t>
      </w:r>
      <w:r w:rsidR="00C44803">
        <w:rPr>
          <w:rStyle w:val="a7"/>
          <w:rFonts w:asciiTheme="minorEastAsia" w:eastAsiaTheme="minorEastAsia" w:hAnsiTheme="minorEastAsia" w:cstheme="minorEastAsia" w:hint="eastAsia"/>
          <w:color w:val="000000"/>
          <w:sz w:val="21"/>
          <w:szCs w:val="21"/>
          <w:u w:val="single"/>
        </w:rPr>
        <w:t xml:space="preserve">                 </w:t>
      </w:r>
    </w:p>
    <w:tbl>
      <w:tblPr>
        <w:tblStyle w:val="aa"/>
        <w:tblW w:w="13500" w:type="dxa"/>
        <w:tblLayout w:type="fixed"/>
        <w:tblLook w:val="04A0"/>
      </w:tblPr>
      <w:tblGrid>
        <w:gridCol w:w="1510"/>
        <w:gridCol w:w="3779"/>
        <w:gridCol w:w="1859"/>
        <w:gridCol w:w="1860"/>
        <w:gridCol w:w="2085"/>
        <w:gridCol w:w="2407"/>
      </w:tblGrid>
      <w:tr w:rsidR="00941446" w:rsidTr="00C64B21">
        <w:trPr>
          <w:trHeight w:val="582"/>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序号</w:t>
            </w:r>
          </w:p>
        </w:tc>
        <w:tc>
          <w:tcPr>
            <w:tcW w:w="3779"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实验室名称</w:t>
            </w:r>
          </w:p>
        </w:tc>
        <w:tc>
          <w:tcPr>
            <w:tcW w:w="1859"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楼号</w:t>
            </w:r>
          </w:p>
        </w:tc>
        <w:tc>
          <w:tcPr>
            <w:tcW w:w="186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房间号</w:t>
            </w:r>
          </w:p>
        </w:tc>
        <w:tc>
          <w:tcPr>
            <w:tcW w:w="2085"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安全责任人</w:t>
            </w:r>
          </w:p>
        </w:tc>
        <w:tc>
          <w:tcPr>
            <w:tcW w:w="2407"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联系电话</w:t>
            </w:r>
          </w:p>
        </w:tc>
      </w:tr>
      <w:tr w:rsidR="00941446" w:rsidTr="00C64B21">
        <w:trPr>
          <w:trHeight w:val="582"/>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1</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82"/>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2</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82"/>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3</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82"/>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4</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82"/>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5</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94"/>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6</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94"/>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7</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94"/>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8</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594"/>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9</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r w:rsidR="00941446" w:rsidTr="00C64B21">
        <w:trPr>
          <w:trHeight w:val="603"/>
        </w:trPr>
        <w:tc>
          <w:tcPr>
            <w:tcW w:w="1510" w:type="dxa"/>
          </w:tcPr>
          <w:p w:rsidR="00941446" w:rsidRDefault="00941446" w:rsidP="00C64B21">
            <w:pPr>
              <w:pStyle w:val="a6"/>
              <w:spacing w:before="0" w:beforeAutospacing="0" w:after="0" w:afterAutospacing="0" w:line="500" w:lineRule="exact"/>
              <w:jc w:val="center"/>
              <w:rPr>
                <w:rStyle w:val="a7"/>
                <w:rFonts w:asciiTheme="minorEastAsia" w:eastAsiaTheme="minorEastAsia" w:hAnsiTheme="minorEastAsia" w:cstheme="minorEastAsia"/>
                <w:b w:val="0"/>
                <w:bCs w:val="0"/>
                <w:color w:val="000000"/>
                <w:sz w:val="28"/>
                <w:szCs w:val="28"/>
              </w:rPr>
            </w:pPr>
            <w:r>
              <w:rPr>
                <w:rStyle w:val="a7"/>
                <w:rFonts w:asciiTheme="minorEastAsia" w:eastAsiaTheme="minorEastAsia" w:hAnsiTheme="minorEastAsia" w:cstheme="minorEastAsia" w:hint="eastAsia"/>
                <w:b w:val="0"/>
                <w:bCs w:val="0"/>
                <w:color w:val="000000"/>
                <w:sz w:val="28"/>
                <w:szCs w:val="28"/>
              </w:rPr>
              <w:t>10</w:t>
            </w:r>
          </w:p>
        </w:tc>
        <w:tc>
          <w:tcPr>
            <w:tcW w:w="377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59"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1860"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085"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c>
          <w:tcPr>
            <w:tcW w:w="2407" w:type="dxa"/>
          </w:tcPr>
          <w:p w:rsidR="00941446" w:rsidRDefault="00941446" w:rsidP="00C64B21">
            <w:pPr>
              <w:pStyle w:val="a6"/>
              <w:spacing w:before="0" w:beforeAutospacing="0" w:after="0" w:afterAutospacing="0" w:line="500" w:lineRule="exact"/>
              <w:jc w:val="both"/>
              <w:rPr>
                <w:rStyle w:val="a7"/>
                <w:rFonts w:asciiTheme="minorEastAsia" w:eastAsiaTheme="minorEastAsia" w:hAnsiTheme="minorEastAsia" w:cstheme="minorEastAsia"/>
                <w:b w:val="0"/>
                <w:bCs w:val="0"/>
                <w:color w:val="000000"/>
                <w:sz w:val="28"/>
                <w:szCs w:val="28"/>
              </w:rPr>
            </w:pPr>
          </w:p>
        </w:tc>
      </w:tr>
    </w:tbl>
    <w:p w:rsidR="00C1466D" w:rsidRDefault="006E77F1">
      <w:pPr>
        <w:pStyle w:val="Style26"/>
      </w:pPr>
      <w:r>
        <w:t>窗体顶端</w:t>
      </w:r>
    </w:p>
    <w:sectPr w:rsidR="00C1466D" w:rsidSect="00B277CD">
      <w:pgSz w:w="16838" w:h="11906" w:orient="landscape"/>
      <w:pgMar w:top="1690" w:right="1440" w:bottom="1746" w:left="144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A1" w:rsidRDefault="00DB7AA1" w:rsidP="008619AE">
      <w:r>
        <w:separator/>
      </w:r>
    </w:p>
  </w:endnote>
  <w:endnote w:type="continuationSeparator" w:id="0">
    <w:p w:rsidR="00DB7AA1" w:rsidRDefault="00DB7AA1" w:rsidP="00861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方正仿宋简体">
    <w:altName w:val="微软雅黑"/>
    <w:charset w:val="86"/>
    <w:family w:val="auto"/>
    <w:pitch w:val="variable"/>
    <w:sig w:usb0="00000000" w:usb1="080E0000" w:usb2="00000010" w:usb3="00000000" w:csb0="00040000" w:csb1="00000000"/>
  </w:font>
  <w:font w:name="长城仿宋体">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A1" w:rsidRDefault="00DB7AA1" w:rsidP="008619AE">
      <w:r>
        <w:separator/>
      </w:r>
    </w:p>
  </w:footnote>
  <w:footnote w:type="continuationSeparator" w:id="0">
    <w:p w:rsidR="00DB7AA1" w:rsidRDefault="00DB7AA1" w:rsidP="00861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97A"/>
    <w:multiLevelType w:val="hybridMultilevel"/>
    <w:tmpl w:val="DAA46AAA"/>
    <w:lvl w:ilvl="0" w:tplc="74A443B4">
      <w:start w:val="2"/>
      <w:numFmt w:val="decimal"/>
      <w:lvlText w:val="（%1）"/>
      <w:lvlJc w:val="left"/>
      <w:pPr>
        <w:tabs>
          <w:tab w:val="num" w:pos="1260"/>
        </w:tabs>
        <w:ind w:left="1260" w:hanging="720"/>
      </w:pPr>
      <w:rPr>
        <w:rFonts w:hint="default"/>
        <w:lang w:val="en-US"/>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066E6467"/>
    <w:multiLevelType w:val="hybridMultilevel"/>
    <w:tmpl w:val="C82862F8"/>
    <w:lvl w:ilvl="0" w:tplc="2B023BDC">
      <w:start w:val="1"/>
      <w:numFmt w:val="decimal"/>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08402B84"/>
    <w:multiLevelType w:val="singleLevel"/>
    <w:tmpl w:val="67882BC0"/>
    <w:lvl w:ilvl="0">
      <w:start w:val="2"/>
      <w:numFmt w:val="decimal"/>
      <w:lvlText w:val="%1、"/>
      <w:lvlJc w:val="left"/>
      <w:pPr>
        <w:tabs>
          <w:tab w:val="num" w:pos="1185"/>
        </w:tabs>
        <w:ind w:left="1185" w:hanging="720"/>
      </w:pPr>
      <w:rPr>
        <w:rFonts w:hint="eastAsia"/>
      </w:rPr>
    </w:lvl>
  </w:abstractNum>
  <w:abstractNum w:abstractNumId="3">
    <w:nsid w:val="0E80683C"/>
    <w:multiLevelType w:val="hybridMultilevel"/>
    <w:tmpl w:val="03AC2948"/>
    <w:lvl w:ilvl="0" w:tplc="3842CD20">
      <w:start w:val="1"/>
      <w:numFmt w:val="japaneseCounting"/>
      <w:lvlText w:val="（%1）"/>
      <w:lvlJc w:val="left"/>
      <w:pPr>
        <w:ind w:left="1315" w:hanging="864"/>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4">
    <w:nsid w:val="0EDD5AF6"/>
    <w:multiLevelType w:val="hybridMultilevel"/>
    <w:tmpl w:val="C71C3960"/>
    <w:lvl w:ilvl="0" w:tplc="68C85DCC">
      <w:start w:val="1"/>
      <w:numFmt w:val="decimal"/>
      <w:lvlText w:val="%1、"/>
      <w:lvlJc w:val="left"/>
      <w:pPr>
        <w:tabs>
          <w:tab w:val="num" w:pos="1155"/>
        </w:tabs>
        <w:ind w:left="115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3765D6"/>
    <w:multiLevelType w:val="hybridMultilevel"/>
    <w:tmpl w:val="17CAE580"/>
    <w:lvl w:ilvl="0" w:tplc="B1A6DB5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6F0817"/>
    <w:multiLevelType w:val="singleLevel"/>
    <w:tmpl w:val="1DB64DD4"/>
    <w:lvl w:ilvl="0">
      <w:start w:val="1"/>
      <w:numFmt w:val="japaneseCounting"/>
      <w:lvlText w:val="%1、"/>
      <w:lvlJc w:val="left"/>
      <w:pPr>
        <w:tabs>
          <w:tab w:val="num" w:pos="1350"/>
        </w:tabs>
        <w:ind w:left="1350" w:hanging="720"/>
      </w:pPr>
      <w:rPr>
        <w:rFonts w:hint="eastAsia"/>
      </w:rPr>
    </w:lvl>
  </w:abstractNum>
  <w:abstractNum w:abstractNumId="7">
    <w:nsid w:val="125F0073"/>
    <w:multiLevelType w:val="hybridMultilevel"/>
    <w:tmpl w:val="DDEA02AC"/>
    <w:lvl w:ilvl="0" w:tplc="1B5622D0">
      <w:start w:val="1"/>
      <w:numFmt w:val="decimal"/>
      <w:lvlText w:val="%1、"/>
      <w:lvlJc w:val="left"/>
      <w:pPr>
        <w:tabs>
          <w:tab w:val="num" w:pos="1635"/>
        </w:tabs>
        <w:ind w:left="1635" w:hanging="1035"/>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12DC3F58"/>
    <w:multiLevelType w:val="hybridMultilevel"/>
    <w:tmpl w:val="5F9A1356"/>
    <w:lvl w:ilvl="0" w:tplc="340E663A">
      <w:start w:val="1"/>
      <w:numFmt w:val="decimal"/>
      <w:lvlText w:val="%1."/>
      <w:lvlJc w:val="left"/>
      <w:pPr>
        <w:tabs>
          <w:tab w:val="num" w:pos="1074"/>
        </w:tabs>
        <w:ind w:left="1074" w:hanging="450"/>
      </w:pPr>
      <w:rPr>
        <w:rFonts w:hint="eastAsia"/>
      </w:rPr>
    </w:lvl>
    <w:lvl w:ilvl="1" w:tplc="04090019" w:tentative="1">
      <w:start w:val="1"/>
      <w:numFmt w:val="lowerLetter"/>
      <w:lvlText w:val="%2)"/>
      <w:lvlJc w:val="left"/>
      <w:pPr>
        <w:tabs>
          <w:tab w:val="num" w:pos="1464"/>
        </w:tabs>
        <w:ind w:left="1464" w:hanging="420"/>
      </w:pPr>
    </w:lvl>
    <w:lvl w:ilvl="2" w:tplc="0409001B" w:tentative="1">
      <w:start w:val="1"/>
      <w:numFmt w:val="lowerRoman"/>
      <w:lvlText w:val="%3."/>
      <w:lvlJc w:val="righ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9" w:tentative="1">
      <w:start w:val="1"/>
      <w:numFmt w:val="lowerLetter"/>
      <w:lvlText w:val="%5)"/>
      <w:lvlJc w:val="left"/>
      <w:pPr>
        <w:tabs>
          <w:tab w:val="num" w:pos="2724"/>
        </w:tabs>
        <w:ind w:left="2724" w:hanging="420"/>
      </w:pPr>
    </w:lvl>
    <w:lvl w:ilvl="5" w:tplc="0409001B" w:tentative="1">
      <w:start w:val="1"/>
      <w:numFmt w:val="lowerRoman"/>
      <w:lvlText w:val="%6."/>
      <w:lvlJc w:val="righ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9" w:tentative="1">
      <w:start w:val="1"/>
      <w:numFmt w:val="lowerLetter"/>
      <w:lvlText w:val="%8)"/>
      <w:lvlJc w:val="left"/>
      <w:pPr>
        <w:tabs>
          <w:tab w:val="num" w:pos="3984"/>
        </w:tabs>
        <w:ind w:left="3984" w:hanging="420"/>
      </w:pPr>
    </w:lvl>
    <w:lvl w:ilvl="8" w:tplc="0409001B" w:tentative="1">
      <w:start w:val="1"/>
      <w:numFmt w:val="lowerRoman"/>
      <w:lvlText w:val="%9."/>
      <w:lvlJc w:val="right"/>
      <w:pPr>
        <w:tabs>
          <w:tab w:val="num" w:pos="4404"/>
        </w:tabs>
        <w:ind w:left="4404" w:hanging="420"/>
      </w:pPr>
    </w:lvl>
  </w:abstractNum>
  <w:abstractNum w:abstractNumId="9">
    <w:nsid w:val="14FD5EA1"/>
    <w:multiLevelType w:val="hybridMultilevel"/>
    <w:tmpl w:val="6B7E34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11A0A1E"/>
    <w:multiLevelType w:val="hybridMultilevel"/>
    <w:tmpl w:val="6F72F398"/>
    <w:lvl w:ilvl="0" w:tplc="F86E228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1">
    <w:nsid w:val="2C7551BF"/>
    <w:multiLevelType w:val="singleLevel"/>
    <w:tmpl w:val="80780C7A"/>
    <w:lvl w:ilvl="0">
      <w:start w:val="1"/>
      <w:numFmt w:val="decimal"/>
      <w:lvlText w:val="%1、"/>
      <w:lvlJc w:val="left"/>
      <w:pPr>
        <w:tabs>
          <w:tab w:val="num" w:pos="480"/>
        </w:tabs>
        <w:ind w:left="480" w:hanging="480"/>
      </w:pPr>
      <w:rPr>
        <w:rFonts w:hint="eastAsia"/>
      </w:rPr>
    </w:lvl>
  </w:abstractNum>
  <w:abstractNum w:abstractNumId="12">
    <w:nsid w:val="2D9435A8"/>
    <w:multiLevelType w:val="hybridMultilevel"/>
    <w:tmpl w:val="8B3E5F14"/>
    <w:lvl w:ilvl="0" w:tplc="AD7AA2BC">
      <w:start w:val="1"/>
      <w:numFmt w:val="decimal"/>
      <w:lvlText w:val="%1、"/>
      <w:lvlJc w:val="left"/>
      <w:pPr>
        <w:tabs>
          <w:tab w:val="num" w:pos="1155"/>
        </w:tabs>
        <w:ind w:left="115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5B1FE1"/>
    <w:multiLevelType w:val="hybridMultilevel"/>
    <w:tmpl w:val="3F38A53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F811956"/>
    <w:multiLevelType w:val="hybridMultilevel"/>
    <w:tmpl w:val="BAA84D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3003408"/>
    <w:multiLevelType w:val="hybridMultilevel"/>
    <w:tmpl w:val="7626FD54"/>
    <w:lvl w:ilvl="0" w:tplc="651C5DEA">
      <w:start w:val="3"/>
      <w:numFmt w:val="japaneseCounting"/>
      <w:lvlText w:val="%1、"/>
      <w:lvlJc w:val="left"/>
      <w:pPr>
        <w:tabs>
          <w:tab w:val="num" w:pos="1361"/>
        </w:tabs>
        <w:ind w:left="1361" w:hanging="72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16">
    <w:nsid w:val="3405636D"/>
    <w:multiLevelType w:val="hybridMultilevel"/>
    <w:tmpl w:val="2D5EC914"/>
    <w:lvl w:ilvl="0" w:tplc="8358270A">
      <w:start w:val="1"/>
      <w:numFmt w:val="decimal"/>
      <w:lvlText w:val="%1、"/>
      <w:lvlJc w:val="left"/>
      <w:pPr>
        <w:tabs>
          <w:tab w:val="num" w:pos="1590"/>
        </w:tabs>
        <w:ind w:left="1590" w:hanging="99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3B9B6AE5"/>
    <w:multiLevelType w:val="singleLevel"/>
    <w:tmpl w:val="20940E66"/>
    <w:lvl w:ilvl="0">
      <w:start w:val="4"/>
      <w:numFmt w:val="decimal"/>
      <w:lvlText w:val="%1、"/>
      <w:lvlJc w:val="left"/>
      <w:pPr>
        <w:tabs>
          <w:tab w:val="num" w:pos="1084"/>
        </w:tabs>
        <w:ind w:left="1084" w:hanging="720"/>
      </w:pPr>
      <w:rPr>
        <w:rFonts w:hint="eastAsia"/>
      </w:rPr>
    </w:lvl>
  </w:abstractNum>
  <w:abstractNum w:abstractNumId="18">
    <w:nsid w:val="3C5D75ED"/>
    <w:multiLevelType w:val="hybridMultilevel"/>
    <w:tmpl w:val="889AED40"/>
    <w:lvl w:ilvl="0" w:tplc="D9D67E9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4399077D"/>
    <w:multiLevelType w:val="singleLevel"/>
    <w:tmpl w:val="ED685444"/>
    <w:lvl w:ilvl="0">
      <w:start w:val="1"/>
      <w:numFmt w:val="decimal"/>
      <w:lvlText w:val="%1、"/>
      <w:lvlJc w:val="left"/>
      <w:pPr>
        <w:tabs>
          <w:tab w:val="num" w:pos="1185"/>
        </w:tabs>
        <w:ind w:left="1185" w:hanging="525"/>
      </w:pPr>
      <w:rPr>
        <w:rFonts w:hint="eastAsia"/>
      </w:rPr>
    </w:lvl>
  </w:abstractNum>
  <w:abstractNum w:abstractNumId="20">
    <w:nsid w:val="44E950F5"/>
    <w:multiLevelType w:val="singleLevel"/>
    <w:tmpl w:val="29446B44"/>
    <w:lvl w:ilvl="0">
      <w:start w:val="1"/>
      <w:numFmt w:val="decimal"/>
      <w:lvlText w:val="%1、"/>
      <w:lvlJc w:val="left"/>
      <w:pPr>
        <w:tabs>
          <w:tab w:val="num" w:pos="1005"/>
        </w:tabs>
        <w:ind w:left="1005" w:hanging="540"/>
      </w:pPr>
      <w:rPr>
        <w:rFonts w:hint="eastAsia"/>
      </w:rPr>
    </w:lvl>
  </w:abstractNum>
  <w:abstractNum w:abstractNumId="21">
    <w:nsid w:val="45C26551"/>
    <w:multiLevelType w:val="hybridMultilevel"/>
    <w:tmpl w:val="E8E40058"/>
    <w:lvl w:ilvl="0" w:tplc="60647138">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CC67F93"/>
    <w:multiLevelType w:val="hybridMultilevel"/>
    <w:tmpl w:val="BAB67246"/>
    <w:lvl w:ilvl="0" w:tplc="BAB68556">
      <w:start w:val="1"/>
      <w:numFmt w:val="decimal"/>
      <w:lvlText w:val="%1、"/>
      <w:lvlJc w:val="left"/>
      <w:pPr>
        <w:tabs>
          <w:tab w:val="num" w:pos="1155"/>
        </w:tabs>
        <w:ind w:left="115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CF1770F"/>
    <w:multiLevelType w:val="singleLevel"/>
    <w:tmpl w:val="B6F2DB80"/>
    <w:lvl w:ilvl="0">
      <w:start w:val="3"/>
      <w:numFmt w:val="decimal"/>
      <w:lvlText w:val="%1、"/>
      <w:lvlJc w:val="left"/>
      <w:pPr>
        <w:tabs>
          <w:tab w:val="num" w:pos="1185"/>
        </w:tabs>
        <w:ind w:left="1185" w:hanging="720"/>
      </w:pPr>
      <w:rPr>
        <w:rFonts w:hint="eastAsia"/>
      </w:rPr>
    </w:lvl>
  </w:abstractNum>
  <w:abstractNum w:abstractNumId="24">
    <w:nsid w:val="4F361015"/>
    <w:multiLevelType w:val="hybridMultilevel"/>
    <w:tmpl w:val="7310C540"/>
    <w:lvl w:ilvl="0" w:tplc="4B08EB2A">
      <w:start w:val="1"/>
      <w:numFmt w:val="japaneseCounting"/>
      <w:lvlText w:val="%1、"/>
      <w:lvlJc w:val="left"/>
      <w:pPr>
        <w:tabs>
          <w:tab w:val="num" w:pos="1155"/>
        </w:tabs>
        <w:ind w:left="1155" w:hanging="7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5">
    <w:nsid w:val="58E04882"/>
    <w:multiLevelType w:val="hybridMultilevel"/>
    <w:tmpl w:val="9670B416"/>
    <w:lvl w:ilvl="0" w:tplc="5BF2A7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5A1555"/>
    <w:multiLevelType w:val="singleLevel"/>
    <w:tmpl w:val="013EEB14"/>
    <w:lvl w:ilvl="0">
      <w:start w:val="1"/>
      <w:numFmt w:val="decimal"/>
      <w:lvlText w:val="%1、"/>
      <w:lvlJc w:val="left"/>
      <w:pPr>
        <w:tabs>
          <w:tab w:val="num" w:pos="525"/>
        </w:tabs>
        <w:ind w:left="525" w:hanging="525"/>
      </w:pPr>
      <w:rPr>
        <w:rFonts w:hint="eastAsia"/>
      </w:rPr>
    </w:lvl>
  </w:abstractNum>
  <w:abstractNum w:abstractNumId="27">
    <w:nsid w:val="59B6542B"/>
    <w:multiLevelType w:val="hybridMultilevel"/>
    <w:tmpl w:val="A5205E30"/>
    <w:lvl w:ilvl="0" w:tplc="5E94C7B2">
      <w:start w:val="1"/>
      <w:numFmt w:val="japaneseCounting"/>
      <w:lvlText w:val="%1、"/>
      <w:lvlJc w:val="left"/>
      <w:pPr>
        <w:tabs>
          <w:tab w:val="num" w:pos="1361"/>
        </w:tabs>
        <w:ind w:left="1361" w:hanging="72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28">
    <w:nsid w:val="59FA076A"/>
    <w:multiLevelType w:val="multilevel"/>
    <w:tmpl w:val="5E4AA376"/>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FB31625"/>
    <w:multiLevelType w:val="hybridMultilevel"/>
    <w:tmpl w:val="972E3BC8"/>
    <w:lvl w:ilvl="0" w:tplc="8A0C6114">
      <w:start w:val="1"/>
      <w:numFmt w:val="japaneseCounting"/>
      <w:lvlText w:val="%1、"/>
      <w:lvlJc w:val="left"/>
      <w:pPr>
        <w:tabs>
          <w:tab w:val="num" w:pos="855"/>
        </w:tabs>
        <w:ind w:left="85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2D7240D"/>
    <w:multiLevelType w:val="multilevel"/>
    <w:tmpl w:val="5E4AA376"/>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6D150537"/>
    <w:multiLevelType w:val="hybridMultilevel"/>
    <w:tmpl w:val="54246D78"/>
    <w:lvl w:ilvl="0" w:tplc="3D7C407C">
      <w:start w:val="1"/>
      <w:numFmt w:val="japaneseCounting"/>
      <w:lvlText w:val="（%1）"/>
      <w:lvlJc w:val="left"/>
      <w:pPr>
        <w:ind w:left="1277" w:hanging="828"/>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32">
    <w:nsid w:val="72AD2256"/>
    <w:multiLevelType w:val="hybridMultilevel"/>
    <w:tmpl w:val="AECA02E8"/>
    <w:lvl w:ilvl="0" w:tplc="376C7316">
      <w:start w:val="1"/>
      <w:numFmt w:val="decimal"/>
      <w:lvlText w:val="%1、"/>
      <w:lvlJc w:val="left"/>
      <w:pPr>
        <w:tabs>
          <w:tab w:val="num" w:pos="1875"/>
        </w:tabs>
        <w:ind w:left="1875" w:hanging="975"/>
      </w:pPr>
      <w:rPr>
        <w:rFonts w:hint="eastAsia"/>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3">
    <w:nsid w:val="730A256F"/>
    <w:multiLevelType w:val="singleLevel"/>
    <w:tmpl w:val="7FB6021E"/>
    <w:lvl w:ilvl="0">
      <w:start w:val="2"/>
      <w:numFmt w:val="decimal"/>
      <w:lvlText w:val="%1、"/>
      <w:lvlJc w:val="left"/>
      <w:pPr>
        <w:tabs>
          <w:tab w:val="num" w:pos="1185"/>
        </w:tabs>
        <w:ind w:left="1185" w:hanging="720"/>
      </w:pPr>
      <w:rPr>
        <w:rFonts w:hint="eastAsia"/>
      </w:rPr>
    </w:lvl>
  </w:abstractNum>
  <w:abstractNum w:abstractNumId="34">
    <w:nsid w:val="768D4504"/>
    <w:multiLevelType w:val="hybridMultilevel"/>
    <w:tmpl w:val="01A444EA"/>
    <w:lvl w:ilvl="0" w:tplc="B978AC00">
      <w:start w:val="1"/>
      <w:numFmt w:val="decimal"/>
      <w:lvlText w:val="%1、"/>
      <w:lvlJc w:val="left"/>
      <w:pPr>
        <w:ind w:left="1169" w:hanging="720"/>
      </w:pPr>
      <w:rPr>
        <w:rFonts w:hint="default"/>
      </w:rPr>
    </w:lvl>
    <w:lvl w:ilvl="1" w:tplc="04090019" w:tentative="1">
      <w:start w:val="1"/>
      <w:numFmt w:val="lowerLetter"/>
      <w:lvlText w:val="%2)"/>
      <w:lvlJc w:val="left"/>
      <w:pPr>
        <w:ind w:left="1289" w:hanging="420"/>
      </w:pPr>
    </w:lvl>
    <w:lvl w:ilvl="2" w:tplc="0409001B" w:tentative="1">
      <w:start w:val="1"/>
      <w:numFmt w:val="lowerRoman"/>
      <w:lvlText w:val="%3."/>
      <w:lvlJc w:val="right"/>
      <w:pPr>
        <w:ind w:left="1709" w:hanging="420"/>
      </w:pPr>
    </w:lvl>
    <w:lvl w:ilvl="3" w:tplc="0409000F" w:tentative="1">
      <w:start w:val="1"/>
      <w:numFmt w:val="decimal"/>
      <w:lvlText w:val="%4."/>
      <w:lvlJc w:val="left"/>
      <w:pPr>
        <w:ind w:left="2129" w:hanging="420"/>
      </w:pPr>
    </w:lvl>
    <w:lvl w:ilvl="4" w:tplc="04090019" w:tentative="1">
      <w:start w:val="1"/>
      <w:numFmt w:val="lowerLetter"/>
      <w:lvlText w:val="%5)"/>
      <w:lvlJc w:val="left"/>
      <w:pPr>
        <w:ind w:left="2549" w:hanging="420"/>
      </w:pPr>
    </w:lvl>
    <w:lvl w:ilvl="5" w:tplc="0409001B" w:tentative="1">
      <w:start w:val="1"/>
      <w:numFmt w:val="lowerRoman"/>
      <w:lvlText w:val="%6."/>
      <w:lvlJc w:val="right"/>
      <w:pPr>
        <w:ind w:left="2969" w:hanging="420"/>
      </w:pPr>
    </w:lvl>
    <w:lvl w:ilvl="6" w:tplc="0409000F" w:tentative="1">
      <w:start w:val="1"/>
      <w:numFmt w:val="decimal"/>
      <w:lvlText w:val="%7."/>
      <w:lvlJc w:val="left"/>
      <w:pPr>
        <w:ind w:left="3389" w:hanging="420"/>
      </w:pPr>
    </w:lvl>
    <w:lvl w:ilvl="7" w:tplc="04090019" w:tentative="1">
      <w:start w:val="1"/>
      <w:numFmt w:val="lowerLetter"/>
      <w:lvlText w:val="%8)"/>
      <w:lvlJc w:val="left"/>
      <w:pPr>
        <w:ind w:left="3809" w:hanging="420"/>
      </w:pPr>
    </w:lvl>
    <w:lvl w:ilvl="8" w:tplc="0409001B" w:tentative="1">
      <w:start w:val="1"/>
      <w:numFmt w:val="lowerRoman"/>
      <w:lvlText w:val="%9."/>
      <w:lvlJc w:val="right"/>
      <w:pPr>
        <w:ind w:left="4229" w:hanging="420"/>
      </w:pPr>
    </w:lvl>
  </w:abstractNum>
  <w:abstractNum w:abstractNumId="35">
    <w:nsid w:val="77B95322"/>
    <w:multiLevelType w:val="hybridMultilevel"/>
    <w:tmpl w:val="39D86F3C"/>
    <w:lvl w:ilvl="0" w:tplc="8958973A">
      <w:start w:val="1"/>
      <w:numFmt w:val="decimal"/>
      <w:lvlText w:val="(%1)"/>
      <w:lvlJc w:val="left"/>
      <w:pPr>
        <w:tabs>
          <w:tab w:val="num" w:pos="420"/>
        </w:tabs>
        <w:ind w:left="420" w:hanging="4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7F53AA2"/>
    <w:multiLevelType w:val="singleLevel"/>
    <w:tmpl w:val="248A41CA"/>
    <w:lvl w:ilvl="0">
      <w:start w:val="2"/>
      <w:numFmt w:val="japaneseCounting"/>
      <w:lvlText w:val="%1、"/>
      <w:lvlJc w:val="left"/>
      <w:pPr>
        <w:tabs>
          <w:tab w:val="num" w:pos="720"/>
        </w:tabs>
        <w:ind w:left="720" w:hanging="720"/>
      </w:pPr>
      <w:rPr>
        <w:rFonts w:hint="eastAsia"/>
      </w:rPr>
    </w:lvl>
  </w:abstractNum>
  <w:abstractNum w:abstractNumId="37">
    <w:nsid w:val="7D532098"/>
    <w:multiLevelType w:val="singleLevel"/>
    <w:tmpl w:val="5E1482C0"/>
    <w:lvl w:ilvl="0">
      <w:start w:val="1"/>
      <w:numFmt w:val="japaneseCounting"/>
      <w:lvlText w:val="%1、"/>
      <w:lvlJc w:val="left"/>
      <w:pPr>
        <w:tabs>
          <w:tab w:val="num" w:pos="630"/>
        </w:tabs>
        <w:ind w:left="630" w:hanging="630"/>
      </w:pPr>
      <w:rPr>
        <w:rFonts w:hint="eastAsia"/>
      </w:rPr>
    </w:lvl>
  </w:abstractNum>
  <w:num w:numId="1">
    <w:abstractNumId w:val="37"/>
  </w:num>
  <w:num w:numId="2">
    <w:abstractNumId w:val="20"/>
  </w:num>
  <w:num w:numId="3">
    <w:abstractNumId w:val="26"/>
  </w:num>
  <w:num w:numId="4">
    <w:abstractNumId w:val="11"/>
  </w:num>
  <w:num w:numId="5">
    <w:abstractNumId w:val="6"/>
  </w:num>
  <w:num w:numId="6">
    <w:abstractNumId w:val="2"/>
  </w:num>
  <w:num w:numId="7">
    <w:abstractNumId w:val="33"/>
  </w:num>
  <w:num w:numId="8">
    <w:abstractNumId w:val="23"/>
  </w:num>
  <w:num w:numId="9">
    <w:abstractNumId w:val="17"/>
  </w:num>
  <w:num w:numId="10">
    <w:abstractNumId w:val="36"/>
  </w:num>
  <w:num w:numId="11">
    <w:abstractNumId w:val="19"/>
  </w:num>
  <w:num w:numId="12">
    <w:abstractNumId w:val="16"/>
  </w:num>
  <w:num w:numId="13">
    <w:abstractNumId w:val="7"/>
  </w:num>
  <w:num w:numId="14">
    <w:abstractNumId w:val="27"/>
  </w:num>
  <w:num w:numId="15">
    <w:abstractNumId w:val="1"/>
  </w:num>
  <w:num w:numId="16">
    <w:abstractNumId w:val="15"/>
  </w:num>
  <w:num w:numId="17">
    <w:abstractNumId w:val="35"/>
  </w:num>
  <w:num w:numId="18">
    <w:abstractNumId w:val="21"/>
  </w:num>
  <w:num w:numId="19">
    <w:abstractNumId w:val="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0"/>
  </w:num>
  <w:num w:numId="26">
    <w:abstractNumId w:val="30"/>
  </w:num>
  <w:num w:numId="27">
    <w:abstractNumId w:val="28"/>
  </w:num>
  <w:num w:numId="28">
    <w:abstractNumId w:val="32"/>
  </w:num>
  <w:num w:numId="29">
    <w:abstractNumId w:val="18"/>
  </w:num>
  <w:num w:numId="30">
    <w:abstractNumId w:val="10"/>
  </w:num>
  <w:num w:numId="31">
    <w:abstractNumId w:val="25"/>
  </w:num>
  <w:num w:numId="32">
    <w:abstractNumId w:val="13"/>
  </w:num>
  <w:num w:numId="33">
    <w:abstractNumId w:val="24"/>
  </w:num>
  <w:num w:numId="34">
    <w:abstractNumId w:val="14"/>
  </w:num>
  <w:num w:numId="35">
    <w:abstractNumId w:val="9"/>
  </w:num>
  <w:num w:numId="36">
    <w:abstractNumId w:val="34"/>
  </w:num>
  <w:num w:numId="37">
    <w:abstractNumId w:val="31"/>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61C92"/>
    <w:rsid w:val="000174E4"/>
    <w:rsid w:val="00093788"/>
    <w:rsid w:val="000B1BFC"/>
    <w:rsid w:val="00141BCD"/>
    <w:rsid w:val="001F77A4"/>
    <w:rsid w:val="002463EA"/>
    <w:rsid w:val="0026030B"/>
    <w:rsid w:val="003164B3"/>
    <w:rsid w:val="00343B0B"/>
    <w:rsid w:val="003F270D"/>
    <w:rsid w:val="004143B5"/>
    <w:rsid w:val="0044744B"/>
    <w:rsid w:val="005F4062"/>
    <w:rsid w:val="0066164D"/>
    <w:rsid w:val="00692AF4"/>
    <w:rsid w:val="006C1074"/>
    <w:rsid w:val="006E77F1"/>
    <w:rsid w:val="0071190A"/>
    <w:rsid w:val="00722C04"/>
    <w:rsid w:val="00770541"/>
    <w:rsid w:val="007D06C6"/>
    <w:rsid w:val="008619AE"/>
    <w:rsid w:val="008A1A16"/>
    <w:rsid w:val="008E4A49"/>
    <w:rsid w:val="00931949"/>
    <w:rsid w:val="009321A3"/>
    <w:rsid w:val="00941446"/>
    <w:rsid w:val="0095553D"/>
    <w:rsid w:val="009E69C8"/>
    <w:rsid w:val="00B03A67"/>
    <w:rsid w:val="00B12686"/>
    <w:rsid w:val="00B277CD"/>
    <w:rsid w:val="00B351F4"/>
    <w:rsid w:val="00BA0C6A"/>
    <w:rsid w:val="00BF0F94"/>
    <w:rsid w:val="00BF33EB"/>
    <w:rsid w:val="00C1466D"/>
    <w:rsid w:val="00C42F1A"/>
    <w:rsid w:val="00C44803"/>
    <w:rsid w:val="00C64B21"/>
    <w:rsid w:val="00D02F67"/>
    <w:rsid w:val="00D05ECA"/>
    <w:rsid w:val="00D3679D"/>
    <w:rsid w:val="00D5793F"/>
    <w:rsid w:val="00D606A8"/>
    <w:rsid w:val="00DB3F87"/>
    <w:rsid w:val="00DB7AA1"/>
    <w:rsid w:val="00E12521"/>
    <w:rsid w:val="00EF577F"/>
    <w:rsid w:val="00F33137"/>
    <w:rsid w:val="00F61C92"/>
    <w:rsid w:val="00F66F84"/>
    <w:rsid w:val="00F71A59"/>
    <w:rsid w:val="00FB300D"/>
    <w:rsid w:val="012A73A6"/>
    <w:rsid w:val="066F6C96"/>
    <w:rsid w:val="147C6C3B"/>
    <w:rsid w:val="1F6E0CC4"/>
    <w:rsid w:val="26933AC8"/>
    <w:rsid w:val="378511CE"/>
    <w:rsid w:val="3ACA301F"/>
    <w:rsid w:val="48BC7862"/>
    <w:rsid w:val="6032067A"/>
    <w:rsid w:val="67D37FA7"/>
    <w:rsid w:val="73821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semiHidden="0"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2" w:uiPriority="0"/>
    <w:lsdException w:name="Body Text Indent 2" w:uiPriority="0" w:qFormat="1"/>
    <w:lsdException w:name="Body Text Indent 3" w:uiPriority="0" w:qFormat="1"/>
    <w:lsdException w:name="Hyperlink"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6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1466D"/>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1"/>
    <w:qFormat/>
    <w:rsid w:val="000B1BFC"/>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C1466D"/>
    <w:rPr>
      <w:sz w:val="18"/>
      <w:szCs w:val="18"/>
    </w:rPr>
  </w:style>
  <w:style w:type="paragraph" w:styleId="a4">
    <w:name w:val="footer"/>
    <w:basedOn w:val="a"/>
    <w:link w:val="Char0"/>
    <w:uiPriority w:val="99"/>
    <w:unhideWhenUsed/>
    <w:qFormat/>
    <w:rsid w:val="00C1466D"/>
    <w:pPr>
      <w:tabs>
        <w:tab w:val="center" w:pos="4153"/>
        <w:tab w:val="right" w:pos="8306"/>
      </w:tabs>
      <w:snapToGrid w:val="0"/>
      <w:jc w:val="left"/>
    </w:pPr>
    <w:rPr>
      <w:sz w:val="18"/>
      <w:szCs w:val="18"/>
    </w:rPr>
  </w:style>
  <w:style w:type="paragraph" w:styleId="a5">
    <w:name w:val="header"/>
    <w:basedOn w:val="a"/>
    <w:link w:val="Char1"/>
    <w:unhideWhenUsed/>
    <w:qFormat/>
    <w:rsid w:val="00C1466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C1466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C1466D"/>
    <w:rPr>
      <w:b/>
      <w:bCs/>
    </w:rPr>
  </w:style>
  <w:style w:type="character" w:styleId="a8">
    <w:name w:val="FollowedHyperlink"/>
    <w:basedOn w:val="a0"/>
    <w:uiPriority w:val="99"/>
    <w:semiHidden/>
    <w:unhideWhenUsed/>
    <w:qFormat/>
    <w:rsid w:val="00C1466D"/>
    <w:rPr>
      <w:rFonts w:ascii="Verdana" w:hAnsi="Verdana" w:cs="Verdana" w:hint="default"/>
      <w:color w:val="800080"/>
      <w:u w:val="single"/>
    </w:rPr>
  </w:style>
  <w:style w:type="character" w:styleId="a9">
    <w:name w:val="Hyperlink"/>
    <w:basedOn w:val="a0"/>
    <w:unhideWhenUsed/>
    <w:qFormat/>
    <w:rsid w:val="00C1466D"/>
    <w:rPr>
      <w:rFonts w:ascii="Verdana" w:hAnsi="Verdana" w:cs="Verdana" w:hint="default"/>
      <w:color w:val="0000FF"/>
      <w:u w:val="single"/>
    </w:rPr>
  </w:style>
  <w:style w:type="table" w:styleId="aa">
    <w:name w:val="Table Grid"/>
    <w:basedOn w:val="a1"/>
    <w:qFormat/>
    <w:rsid w:val="00C146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C1466D"/>
    <w:rPr>
      <w:sz w:val="18"/>
      <w:szCs w:val="18"/>
    </w:rPr>
  </w:style>
  <w:style w:type="character" w:customStyle="1" w:styleId="Char0">
    <w:name w:val="页脚 Char"/>
    <w:basedOn w:val="a0"/>
    <w:link w:val="a4"/>
    <w:uiPriority w:val="99"/>
    <w:qFormat/>
    <w:rsid w:val="00C1466D"/>
    <w:rPr>
      <w:sz w:val="18"/>
      <w:szCs w:val="18"/>
    </w:rPr>
  </w:style>
  <w:style w:type="character" w:customStyle="1" w:styleId="apple-converted-space">
    <w:name w:val="apple-converted-space"/>
    <w:basedOn w:val="a0"/>
    <w:qFormat/>
    <w:rsid w:val="00C1466D"/>
  </w:style>
  <w:style w:type="paragraph" w:customStyle="1" w:styleId="Style13">
    <w:name w:val="_Style 13"/>
    <w:basedOn w:val="a"/>
    <w:next w:val="a"/>
    <w:qFormat/>
    <w:rsid w:val="00C1466D"/>
    <w:pPr>
      <w:pBdr>
        <w:bottom w:val="single" w:sz="6" w:space="1" w:color="auto"/>
      </w:pBdr>
      <w:jc w:val="center"/>
    </w:pPr>
    <w:rPr>
      <w:rFonts w:ascii="Arial" w:eastAsia="宋体"/>
      <w:vanish/>
      <w:sz w:val="16"/>
    </w:rPr>
  </w:style>
  <w:style w:type="paragraph" w:customStyle="1" w:styleId="Style14">
    <w:name w:val="_Style 14"/>
    <w:basedOn w:val="a"/>
    <w:next w:val="a"/>
    <w:qFormat/>
    <w:rsid w:val="00C1466D"/>
    <w:pPr>
      <w:pBdr>
        <w:top w:val="single" w:sz="6" w:space="1" w:color="auto"/>
      </w:pBdr>
      <w:jc w:val="center"/>
    </w:pPr>
    <w:rPr>
      <w:rFonts w:ascii="Arial" w:eastAsia="宋体"/>
      <w:vanish/>
      <w:sz w:val="16"/>
    </w:rPr>
  </w:style>
  <w:style w:type="character" w:customStyle="1" w:styleId="column-name">
    <w:name w:val="column-name"/>
    <w:basedOn w:val="a0"/>
    <w:qFormat/>
    <w:rsid w:val="00C1466D"/>
    <w:rPr>
      <w:color w:val="3B3A3A"/>
    </w:rPr>
  </w:style>
  <w:style w:type="character" w:customStyle="1" w:styleId="column-name1">
    <w:name w:val="column-name1"/>
    <w:basedOn w:val="a0"/>
    <w:qFormat/>
    <w:rsid w:val="00C1466D"/>
    <w:rPr>
      <w:color w:val="3B3A3A"/>
    </w:rPr>
  </w:style>
  <w:style w:type="character" w:customStyle="1" w:styleId="column-name2">
    <w:name w:val="column-name2"/>
    <w:basedOn w:val="a0"/>
    <w:qFormat/>
    <w:rsid w:val="00C1466D"/>
    <w:rPr>
      <w:color w:val="3B3A3A"/>
    </w:rPr>
  </w:style>
  <w:style w:type="character" w:customStyle="1" w:styleId="column-name3">
    <w:name w:val="column-name3"/>
    <w:basedOn w:val="a0"/>
    <w:qFormat/>
    <w:rsid w:val="00C1466D"/>
    <w:rPr>
      <w:color w:val="3B3A3A"/>
    </w:rPr>
  </w:style>
  <w:style w:type="character" w:customStyle="1" w:styleId="item-name">
    <w:name w:val="item-name"/>
    <w:basedOn w:val="a0"/>
    <w:qFormat/>
    <w:rsid w:val="00C1466D"/>
  </w:style>
  <w:style w:type="character" w:customStyle="1" w:styleId="item-name1">
    <w:name w:val="item-name1"/>
    <w:basedOn w:val="a0"/>
    <w:qFormat/>
    <w:rsid w:val="00C1466D"/>
  </w:style>
  <w:style w:type="character" w:customStyle="1" w:styleId="item-name2">
    <w:name w:val="item-name2"/>
    <w:basedOn w:val="a0"/>
    <w:qFormat/>
    <w:rsid w:val="00C1466D"/>
  </w:style>
  <w:style w:type="character" w:customStyle="1" w:styleId="item-name3">
    <w:name w:val="item-name3"/>
    <w:basedOn w:val="a0"/>
    <w:qFormat/>
    <w:rsid w:val="00C1466D"/>
  </w:style>
  <w:style w:type="character" w:customStyle="1" w:styleId="item-name4">
    <w:name w:val="item-name4"/>
    <w:basedOn w:val="a0"/>
    <w:qFormat/>
    <w:rsid w:val="00C1466D"/>
  </w:style>
  <w:style w:type="character" w:customStyle="1" w:styleId="item-name5">
    <w:name w:val="item-name5"/>
    <w:basedOn w:val="a0"/>
    <w:qFormat/>
    <w:rsid w:val="00C1466D"/>
  </w:style>
  <w:style w:type="paragraph" w:customStyle="1" w:styleId="Style26">
    <w:name w:val="_Style 26"/>
    <w:basedOn w:val="a"/>
    <w:next w:val="a"/>
    <w:qFormat/>
    <w:rsid w:val="00C1466D"/>
    <w:pPr>
      <w:pBdr>
        <w:bottom w:val="single" w:sz="6" w:space="1" w:color="auto"/>
      </w:pBdr>
      <w:jc w:val="center"/>
    </w:pPr>
    <w:rPr>
      <w:rFonts w:ascii="Arial" w:eastAsia="宋体"/>
      <w:vanish/>
      <w:sz w:val="16"/>
    </w:rPr>
  </w:style>
  <w:style w:type="paragraph" w:customStyle="1" w:styleId="Style27">
    <w:name w:val="_Style 27"/>
    <w:basedOn w:val="a"/>
    <w:next w:val="a"/>
    <w:qFormat/>
    <w:rsid w:val="00C1466D"/>
    <w:pPr>
      <w:pBdr>
        <w:top w:val="single" w:sz="6" w:space="1" w:color="auto"/>
      </w:pBdr>
      <w:jc w:val="center"/>
    </w:pPr>
    <w:rPr>
      <w:rFonts w:ascii="Arial" w:eastAsia="宋体"/>
      <w:vanish/>
      <w:sz w:val="16"/>
    </w:rPr>
  </w:style>
  <w:style w:type="character" w:customStyle="1" w:styleId="Char">
    <w:name w:val="批注框文本 Char"/>
    <w:basedOn w:val="a0"/>
    <w:link w:val="a3"/>
    <w:uiPriority w:val="99"/>
    <w:semiHidden/>
    <w:qFormat/>
    <w:rsid w:val="00C1466D"/>
    <w:rPr>
      <w:rFonts w:asciiTheme="minorHAnsi" w:eastAsiaTheme="minorEastAsia" w:hAnsiTheme="minorHAnsi" w:cstheme="minorBidi"/>
      <w:kern w:val="2"/>
      <w:sz w:val="18"/>
      <w:szCs w:val="18"/>
    </w:rPr>
  </w:style>
  <w:style w:type="paragraph" w:styleId="ab">
    <w:name w:val="Body Text Indent"/>
    <w:basedOn w:val="a"/>
    <w:link w:val="Char2"/>
    <w:qFormat/>
    <w:rsid w:val="00BF33EB"/>
    <w:pPr>
      <w:ind w:firstLine="630"/>
    </w:pPr>
    <w:rPr>
      <w:rFonts w:ascii="方正仿宋简体" w:eastAsia="方正仿宋简体" w:hAnsi="Times New Roman" w:cs="Times New Roman"/>
      <w:sz w:val="32"/>
      <w:szCs w:val="20"/>
    </w:rPr>
  </w:style>
  <w:style w:type="character" w:customStyle="1" w:styleId="Char2">
    <w:name w:val="正文文本缩进 Char"/>
    <w:basedOn w:val="a0"/>
    <w:link w:val="ab"/>
    <w:rsid w:val="00BF33EB"/>
    <w:rPr>
      <w:rFonts w:ascii="方正仿宋简体" w:eastAsia="方正仿宋简体"/>
      <w:kern w:val="2"/>
      <w:sz w:val="32"/>
    </w:rPr>
  </w:style>
  <w:style w:type="paragraph" w:styleId="ac">
    <w:name w:val="Date"/>
    <w:basedOn w:val="a"/>
    <w:next w:val="a"/>
    <w:link w:val="Char3"/>
    <w:qFormat/>
    <w:rsid w:val="00BF33EB"/>
    <w:rPr>
      <w:rFonts w:ascii="方正仿宋简体" w:eastAsia="方正仿宋简体" w:hAnsi="Times New Roman" w:cs="Times New Roman"/>
      <w:sz w:val="32"/>
      <w:szCs w:val="20"/>
    </w:rPr>
  </w:style>
  <w:style w:type="character" w:customStyle="1" w:styleId="Char3">
    <w:name w:val="日期 Char"/>
    <w:basedOn w:val="a0"/>
    <w:link w:val="ac"/>
    <w:uiPriority w:val="99"/>
    <w:rsid w:val="00BF33EB"/>
    <w:rPr>
      <w:rFonts w:ascii="方正仿宋简体" w:eastAsia="方正仿宋简体"/>
      <w:kern w:val="2"/>
      <w:sz w:val="32"/>
    </w:rPr>
  </w:style>
  <w:style w:type="paragraph" w:styleId="ad">
    <w:name w:val="Body Text"/>
    <w:basedOn w:val="a"/>
    <w:link w:val="Char4"/>
    <w:qFormat/>
    <w:rsid w:val="00BF33EB"/>
    <w:pPr>
      <w:spacing w:line="600" w:lineRule="atLeast"/>
    </w:pPr>
    <w:rPr>
      <w:rFonts w:ascii="长城仿宋体" w:eastAsia="长城仿宋体" w:hAnsi="Times New Roman" w:cs="Times New Roman"/>
      <w:color w:val="000000"/>
      <w:sz w:val="30"/>
      <w:szCs w:val="20"/>
    </w:rPr>
  </w:style>
  <w:style w:type="character" w:customStyle="1" w:styleId="Char4">
    <w:name w:val="正文文本 Char"/>
    <w:basedOn w:val="a0"/>
    <w:link w:val="ad"/>
    <w:rsid w:val="00BF33EB"/>
    <w:rPr>
      <w:rFonts w:ascii="长城仿宋体" w:eastAsia="长城仿宋体"/>
      <w:color w:val="000000"/>
      <w:kern w:val="2"/>
      <w:sz w:val="30"/>
    </w:rPr>
  </w:style>
  <w:style w:type="paragraph" w:styleId="20">
    <w:name w:val="Body Text Indent 2"/>
    <w:basedOn w:val="a"/>
    <w:link w:val="2Char"/>
    <w:qFormat/>
    <w:rsid w:val="00BF33EB"/>
    <w:pPr>
      <w:spacing w:before="100" w:after="100" w:line="460" w:lineRule="exact"/>
      <w:ind w:firstLineChars="200" w:firstLine="600"/>
    </w:pPr>
    <w:rPr>
      <w:rFonts w:ascii="宋体" w:eastAsia="宋体" w:hAnsi="Times New Roman" w:cs="Times New Roman"/>
      <w:sz w:val="30"/>
      <w:szCs w:val="20"/>
    </w:rPr>
  </w:style>
  <w:style w:type="character" w:customStyle="1" w:styleId="2Char">
    <w:name w:val="正文文本缩进 2 Char"/>
    <w:basedOn w:val="a0"/>
    <w:link w:val="20"/>
    <w:rsid w:val="00BF33EB"/>
    <w:rPr>
      <w:rFonts w:ascii="宋体"/>
      <w:kern w:val="2"/>
      <w:sz w:val="30"/>
    </w:rPr>
  </w:style>
  <w:style w:type="paragraph" w:styleId="3">
    <w:name w:val="Body Text Indent 3"/>
    <w:basedOn w:val="a"/>
    <w:link w:val="3Char"/>
    <w:qFormat/>
    <w:rsid w:val="00BF33EB"/>
    <w:pPr>
      <w:spacing w:line="600" w:lineRule="atLeast"/>
      <w:ind w:left="600"/>
    </w:pPr>
    <w:rPr>
      <w:rFonts w:ascii="宋体" w:eastAsia="宋体" w:hAnsi="宋体" w:cs="Times New Roman"/>
      <w:sz w:val="30"/>
      <w:szCs w:val="20"/>
    </w:rPr>
  </w:style>
  <w:style w:type="character" w:customStyle="1" w:styleId="3Char">
    <w:name w:val="正文文本缩进 3 Char"/>
    <w:basedOn w:val="a0"/>
    <w:link w:val="3"/>
    <w:rsid w:val="00BF33EB"/>
    <w:rPr>
      <w:rFonts w:ascii="宋体" w:hAnsi="宋体"/>
      <w:kern w:val="2"/>
      <w:sz w:val="30"/>
    </w:rPr>
  </w:style>
  <w:style w:type="character" w:styleId="ae">
    <w:name w:val="page number"/>
    <w:basedOn w:val="a0"/>
    <w:qFormat/>
    <w:rsid w:val="00BF33EB"/>
  </w:style>
  <w:style w:type="paragraph" w:styleId="21">
    <w:name w:val="Body Text 2"/>
    <w:basedOn w:val="a"/>
    <w:link w:val="2Char0"/>
    <w:rsid w:val="00BF33EB"/>
    <w:pPr>
      <w:spacing w:after="120" w:line="480" w:lineRule="auto"/>
    </w:pPr>
    <w:rPr>
      <w:rFonts w:ascii="Times New Roman" w:eastAsia="宋体" w:hAnsi="Times New Roman" w:cs="Times New Roman"/>
      <w:szCs w:val="24"/>
    </w:rPr>
  </w:style>
  <w:style w:type="character" w:customStyle="1" w:styleId="2Char0">
    <w:name w:val="正文文本 2 Char"/>
    <w:basedOn w:val="a0"/>
    <w:link w:val="21"/>
    <w:rsid w:val="00BF33EB"/>
    <w:rPr>
      <w:kern w:val="2"/>
      <w:sz w:val="21"/>
      <w:szCs w:val="24"/>
    </w:rPr>
  </w:style>
  <w:style w:type="paragraph" w:styleId="af">
    <w:name w:val="Plain Text"/>
    <w:basedOn w:val="a"/>
    <w:link w:val="Char5"/>
    <w:qFormat/>
    <w:rsid w:val="00BF33EB"/>
    <w:rPr>
      <w:rFonts w:ascii="宋体" w:eastAsia="宋体" w:hAnsi="Courier New" w:cs="Times New Roman" w:hint="eastAsia"/>
      <w:szCs w:val="21"/>
    </w:rPr>
  </w:style>
  <w:style w:type="character" w:customStyle="1" w:styleId="Char5">
    <w:name w:val="纯文本 Char"/>
    <w:basedOn w:val="a0"/>
    <w:link w:val="af"/>
    <w:rsid w:val="00BF33EB"/>
    <w:rPr>
      <w:rFonts w:ascii="宋体" w:hAnsi="Courier New"/>
      <w:kern w:val="2"/>
      <w:sz w:val="21"/>
      <w:szCs w:val="21"/>
    </w:rPr>
  </w:style>
  <w:style w:type="paragraph" w:customStyle="1" w:styleId="char6">
    <w:name w:val="char"/>
    <w:basedOn w:val="a"/>
    <w:autoRedefine/>
    <w:rsid w:val="00BF33EB"/>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7">
    <w:name w:val="Char"/>
    <w:basedOn w:val="a"/>
    <w:rsid w:val="00BF33EB"/>
    <w:rPr>
      <w:rFonts w:ascii="Tahoma" w:eastAsia="宋体" w:hAnsi="Tahoma" w:cs="Times New Roman"/>
      <w:sz w:val="24"/>
      <w:szCs w:val="20"/>
    </w:rPr>
  </w:style>
  <w:style w:type="character" w:customStyle="1" w:styleId="defaultfont">
    <w:name w:val="defaultfont"/>
    <w:basedOn w:val="a0"/>
    <w:rsid w:val="00BF33EB"/>
  </w:style>
  <w:style w:type="paragraph" w:customStyle="1" w:styleId="CharCharCharCharCharCharCharCharChar">
    <w:name w:val="Char Char Char Char Char Char Char Char Char"/>
    <w:basedOn w:val="a"/>
    <w:autoRedefine/>
    <w:rsid w:val="00BF33EB"/>
    <w:pPr>
      <w:widowControl/>
      <w:snapToGrid w:val="0"/>
      <w:spacing w:line="240" w:lineRule="atLeast"/>
      <w:jc w:val="left"/>
    </w:pPr>
    <w:rPr>
      <w:rFonts w:ascii="Times New Roman" w:eastAsia="仿宋_GB2312" w:hAnsi="Verdana" w:cs="Times New Roman"/>
      <w:kern w:val="0"/>
      <w:szCs w:val="21"/>
      <w:lang w:eastAsia="en-US"/>
    </w:rPr>
  </w:style>
  <w:style w:type="paragraph" w:customStyle="1" w:styleId="CharCharCharCharCharChar1Char">
    <w:name w:val="Char Char Char Char Char Char1 Char"/>
    <w:basedOn w:val="a"/>
    <w:rsid w:val="00BF33EB"/>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1Char0">
    <w:name w:val="Char Char Char Char Char Char1 Char"/>
    <w:basedOn w:val="a"/>
    <w:rsid w:val="00BF33EB"/>
    <w:pPr>
      <w:widowControl/>
      <w:spacing w:after="160" w:line="240" w:lineRule="exact"/>
      <w:jc w:val="left"/>
    </w:pPr>
    <w:rPr>
      <w:rFonts w:ascii="Arial" w:eastAsia="Times New Roman" w:hAnsi="Arial" w:cs="Verdana"/>
      <w:b/>
      <w:kern w:val="0"/>
      <w:sz w:val="24"/>
      <w:szCs w:val="24"/>
      <w:lang w:eastAsia="en-US"/>
    </w:rPr>
  </w:style>
  <w:style w:type="paragraph" w:customStyle="1" w:styleId="Style1">
    <w:name w:val="_Style 1"/>
    <w:basedOn w:val="a"/>
    <w:rsid w:val="00BF33EB"/>
    <w:pPr>
      <w:snapToGrid w:val="0"/>
      <w:spacing w:line="520" w:lineRule="exact"/>
    </w:pPr>
    <w:rPr>
      <w:rFonts w:ascii="Times New Roman" w:eastAsia="宋体" w:hAnsi="Times New Roman" w:cs="Times New Roman"/>
      <w:szCs w:val="20"/>
    </w:rPr>
  </w:style>
  <w:style w:type="paragraph" w:styleId="af0">
    <w:name w:val="List Paragraph"/>
    <w:basedOn w:val="a"/>
    <w:uiPriority w:val="34"/>
    <w:qFormat/>
    <w:rsid w:val="00BF33EB"/>
    <w:pPr>
      <w:ind w:leftChars="-53" w:left="-53" w:firstLineChars="200" w:firstLine="420"/>
    </w:pPr>
    <w:rPr>
      <w:rFonts w:ascii="Calibri" w:eastAsia="宋体" w:hAnsi="Calibri" w:cs="Times New Roman"/>
    </w:rPr>
  </w:style>
  <w:style w:type="character" w:customStyle="1" w:styleId="2Char2">
    <w:name w:val="标题 2 Char"/>
    <w:basedOn w:val="a0"/>
    <w:link w:val="2"/>
    <w:uiPriority w:val="9"/>
    <w:semiHidden/>
    <w:rsid w:val="000B1BFC"/>
    <w:rPr>
      <w:rFonts w:asciiTheme="majorHAnsi" w:eastAsiaTheme="majorEastAsia" w:hAnsiTheme="majorHAnsi" w:cstheme="majorBidi"/>
      <w:b/>
      <w:bCs/>
      <w:kern w:val="2"/>
      <w:sz w:val="32"/>
      <w:szCs w:val="32"/>
    </w:rPr>
  </w:style>
  <w:style w:type="paragraph" w:styleId="af1">
    <w:name w:val="caption"/>
    <w:basedOn w:val="a"/>
    <w:next w:val="a"/>
    <w:qFormat/>
    <w:rsid w:val="000B1BFC"/>
    <w:pPr>
      <w:spacing w:before="152" w:after="160" w:line="460" w:lineRule="exact"/>
    </w:pPr>
    <w:rPr>
      <w:rFonts w:ascii="Arial" w:eastAsia="黑体" w:hAnsi="Arial" w:cs="Times New Roman"/>
      <w:szCs w:val="20"/>
    </w:rPr>
  </w:style>
  <w:style w:type="paragraph" w:styleId="af2">
    <w:name w:val="Document Map"/>
    <w:basedOn w:val="a"/>
    <w:link w:val="Char10"/>
    <w:semiHidden/>
    <w:qFormat/>
    <w:rsid w:val="000B1BFC"/>
    <w:rPr>
      <w:rFonts w:ascii="宋体" w:eastAsia="宋体" w:hAnsi="Times New Roman" w:cs="Times New Roman"/>
      <w:kern w:val="0"/>
      <w:sz w:val="18"/>
      <w:szCs w:val="18"/>
    </w:rPr>
  </w:style>
  <w:style w:type="character" w:customStyle="1" w:styleId="Char8">
    <w:name w:val="文档结构图 Char"/>
    <w:basedOn w:val="a0"/>
    <w:link w:val="af2"/>
    <w:uiPriority w:val="99"/>
    <w:semiHidden/>
    <w:rsid w:val="000B1BFC"/>
    <w:rPr>
      <w:rFonts w:ascii="宋体" w:hAnsiTheme="minorHAnsi" w:cstheme="minorBidi"/>
      <w:kern w:val="2"/>
      <w:sz w:val="18"/>
      <w:szCs w:val="18"/>
    </w:rPr>
  </w:style>
  <w:style w:type="paragraph" w:styleId="af3">
    <w:name w:val="annotation text"/>
    <w:basedOn w:val="a"/>
    <w:link w:val="Char11"/>
    <w:qFormat/>
    <w:rsid w:val="000B1BFC"/>
    <w:pPr>
      <w:spacing w:line="460" w:lineRule="exact"/>
      <w:jc w:val="left"/>
    </w:pPr>
    <w:rPr>
      <w:rFonts w:ascii="Calibri" w:eastAsia="宋体" w:hAnsi="Calibri" w:cs="Times New Roman"/>
      <w:szCs w:val="21"/>
    </w:rPr>
  </w:style>
  <w:style w:type="character" w:customStyle="1" w:styleId="Char9">
    <w:name w:val="批注文字 Char"/>
    <w:basedOn w:val="a0"/>
    <w:link w:val="af3"/>
    <w:uiPriority w:val="99"/>
    <w:semiHidden/>
    <w:rsid w:val="000B1BFC"/>
    <w:rPr>
      <w:rFonts w:asciiTheme="minorHAnsi" w:eastAsiaTheme="minorEastAsia" w:hAnsiTheme="minorHAnsi" w:cstheme="minorBidi"/>
      <w:kern w:val="2"/>
      <w:sz w:val="21"/>
      <w:szCs w:val="22"/>
    </w:rPr>
  </w:style>
  <w:style w:type="paragraph" w:styleId="af4">
    <w:name w:val="annotation subject"/>
    <w:basedOn w:val="af3"/>
    <w:next w:val="af3"/>
    <w:link w:val="Char12"/>
    <w:semiHidden/>
    <w:qFormat/>
    <w:rsid w:val="000B1BFC"/>
    <w:rPr>
      <w:b/>
      <w:bCs/>
    </w:rPr>
  </w:style>
  <w:style w:type="character" w:customStyle="1" w:styleId="Chara">
    <w:name w:val="批注主题 Char"/>
    <w:basedOn w:val="Char9"/>
    <w:link w:val="af4"/>
    <w:uiPriority w:val="99"/>
    <w:semiHidden/>
    <w:rsid w:val="000B1BFC"/>
    <w:rPr>
      <w:b/>
      <w:bCs/>
    </w:rPr>
  </w:style>
  <w:style w:type="paragraph" w:customStyle="1" w:styleId="af5">
    <w:qFormat/>
    <w:rsid w:val="000B1BFC"/>
    <w:pPr>
      <w:widowControl w:val="0"/>
      <w:jc w:val="both"/>
    </w:pPr>
    <w:rPr>
      <w:rFonts w:asciiTheme="minorHAnsi" w:eastAsiaTheme="minorEastAsia" w:hAnsiTheme="minorHAnsi" w:cstheme="minorBidi"/>
      <w:kern w:val="2"/>
      <w:sz w:val="21"/>
      <w:szCs w:val="22"/>
    </w:rPr>
  </w:style>
  <w:style w:type="character" w:styleId="af6">
    <w:name w:val="annotation reference"/>
    <w:semiHidden/>
    <w:qFormat/>
    <w:rsid w:val="000B1BFC"/>
    <w:rPr>
      <w:rFonts w:cs="Times New Roman"/>
      <w:sz w:val="21"/>
      <w:szCs w:val="21"/>
    </w:rPr>
  </w:style>
  <w:style w:type="character" w:styleId="af7">
    <w:name w:val="footnote reference"/>
    <w:semiHidden/>
    <w:qFormat/>
    <w:rsid w:val="000B1BFC"/>
    <w:rPr>
      <w:rFonts w:cs="Times New Roman"/>
      <w:vertAlign w:val="superscript"/>
    </w:rPr>
  </w:style>
  <w:style w:type="paragraph" w:customStyle="1" w:styleId="10">
    <w:name w:val="列出段落1"/>
    <w:basedOn w:val="a"/>
    <w:qFormat/>
    <w:rsid w:val="000B1BFC"/>
    <w:pPr>
      <w:ind w:firstLineChars="200" w:firstLine="420"/>
    </w:pPr>
    <w:rPr>
      <w:rFonts w:ascii="Times New Roman" w:eastAsia="宋体" w:hAnsi="Times New Roman" w:cs="Times New Roman"/>
      <w:szCs w:val="24"/>
    </w:rPr>
  </w:style>
  <w:style w:type="character" w:customStyle="1" w:styleId="af8">
    <w:name w:val="页眉 字符"/>
    <w:qFormat/>
    <w:locked/>
    <w:rsid w:val="000B1BFC"/>
    <w:rPr>
      <w:rFonts w:cs="Times New Roman"/>
      <w:sz w:val="18"/>
      <w:szCs w:val="18"/>
    </w:rPr>
  </w:style>
  <w:style w:type="character" w:customStyle="1" w:styleId="af9">
    <w:name w:val="页脚 字符"/>
    <w:uiPriority w:val="99"/>
    <w:qFormat/>
    <w:locked/>
    <w:rsid w:val="000B1BFC"/>
    <w:rPr>
      <w:rFonts w:cs="Times New Roman"/>
      <w:sz w:val="18"/>
      <w:szCs w:val="18"/>
    </w:rPr>
  </w:style>
  <w:style w:type="character" w:customStyle="1" w:styleId="Char10">
    <w:name w:val="文档结构图 Char1"/>
    <w:link w:val="af2"/>
    <w:semiHidden/>
    <w:qFormat/>
    <w:locked/>
    <w:rsid w:val="000B1BFC"/>
    <w:rPr>
      <w:rFonts w:ascii="宋体"/>
      <w:sz w:val="18"/>
      <w:szCs w:val="18"/>
    </w:rPr>
  </w:style>
  <w:style w:type="character" w:customStyle="1" w:styleId="1Char">
    <w:name w:val="标题 1 Char"/>
    <w:link w:val="1"/>
    <w:qFormat/>
    <w:locked/>
    <w:rsid w:val="000B1BFC"/>
    <w:rPr>
      <w:rFonts w:ascii="宋体" w:hAnsi="宋体"/>
      <w:b/>
      <w:kern w:val="44"/>
      <w:sz w:val="48"/>
      <w:szCs w:val="48"/>
    </w:rPr>
  </w:style>
  <w:style w:type="character" w:customStyle="1" w:styleId="afa">
    <w:name w:val="批注框文本 字符"/>
    <w:qFormat/>
    <w:locked/>
    <w:rsid w:val="000B1BFC"/>
    <w:rPr>
      <w:rFonts w:cs="Times New Roman"/>
      <w:sz w:val="18"/>
      <w:szCs w:val="18"/>
    </w:rPr>
  </w:style>
  <w:style w:type="character" w:customStyle="1" w:styleId="afb">
    <w:name w:val="日期 字符"/>
    <w:qFormat/>
    <w:locked/>
    <w:rsid w:val="000B1BFC"/>
    <w:rPr>
      <w:rFonts w:cs="Times New Roman"/>
      <w:sz w:val="24"/>
      <w:szCs w:val="24"/>
    </w:rPr>
  </w:style>
  <w:style w:type="paragraph" w:customStyle="1" w:styleId="11">
    <w:name w:val="修订1"/>
    <w:hidden/>
    <w:qFormat/>
    <w:rsid w:val="000B1BFC"/>
    <w:rPr>
      <w:kern w:val="2"/>
      <w:sz w:val="21"/>
      <w:szCs w:val="24"/>
    </w:rPr>
  </w:style>
  <w:style w:type="character" w:customStyle="1" w:styleId="2Char1">
    <w:name w:val="标题 2 Char1"/>
    <w:link w:val="2"/>
    <w:qFormat/>
    <w:locked/>
    <w:rsid w:val="000B1BFC"/>
    <w:rPr>
      <w:rFonts w:ascii="宋体"/>
      <w:b/>
      <w:bCs/>
      <w:sz w:val="36"/>
      <w:szCs w:val="36"/>
    </w:rPr>
  </w:style>
  <w:style w:type="character" w:customStyle="1" w:styleId="30">
    <w:name w:val="正文文本缩进 3 字符"/>
    <w:qFormat/>
    <w:locked/>
    <w:rsid w:val="000B1BFC"/>
    <w:rPr>
      <w:rFonts w:ascii="宋体" w:eastAsia="宋体" w:cs="Times New Roman"/>
      <w:sz w:val="21"/>
      <w:szCs w:val="21"/>
    </w:rPr>
  </w:style>
  <w:style w:type="paragraph" w:customStyle="1" w:styleId="reader-word-layerreader-word-s19-13">
    <w:name w:val="reader-word-layer reader-word-s19-13"/>
    <w:basedOn w:val="a"/>
    <w:qFormat/>
    <w:rsid w:val="000B1BFC"/>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0B1BFC"/>
    <w:pPr>
      <w:widowControl/>
      <w:spacing w:before="100" w:beforeAutospacing="1" w:after="100" w:afterAutospacing="1" w:line="460" w:lineRule="exact"/>
      <w:jc w:val="left"/>
    </w:pPr>
    <w:rPr>
      <w:rFonts w:ascii="宋体" w:eastAsia="宋体" w:hAnsi="宋体" w:cs="宋体"/>
      <w:kern w:val="0"/>
      <w:sz w:val="24"/>
      <w:szCs w:val="24"/>
    </w:rPr>
  </w:style>
  <w:style w:type="character" w:customStyle="1" w:styleId="afc">
    <w:name w:val="正文文本缩进 字符"/>
    <w:qFormat/>
    <w:locked/>
    <w:rsid w:val="000B1BFC"/>
    <w:rPr>
      <w:rFonts w:ascii="仿宋_GB2312" w:eastAsia="仿宋_GB2312" w:cs="Times New Roman"/>
      <w:kern w:val="2"/>
      <w:sz w:val="32"/>
    </w:rPr>
  </w:style>
  <w:style w:type="paragraph" w:customStyle="1" w:styleId="afd">
    <w:name w:val="大标题"/>
    <w:basedOn w:val="a"/>
    <w:qFormat/>
    <w:rsid w:val="000B1BFC"/>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fe">
    <w:name w:val="主题词"/>
    <w:basedOn w:val="a"/>
    <w:qFormat/>
    <w:rsid w:val="000B1BFC"/>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ff">
    <w:name w:val="函号"/>
    <w:basedOn w:val="a"/>
    <w:qFormat/>
    <w:rsid w:val="000B1BFC"/>
    <w:pPr>
      <w:adjustRightInd w:val="0"/>
      <w:spacing w:line="440" w:lineRule="atLeast"/>
      <w:jc w:val="right"/>
      <w:textAlignment w:val="bottom"/>
    </w:pPr>
    <w:rPr>
      <w:rFonts w:ascii="Times New Roman" w:eastAsia="仿宋_GB2312" w:hAnsi="Times New Roman" w:cs="Times New Roman"/>
      <w:kern w:val="0"/>
      <w:sz w:val="28"/>
      <w:szCs w:val="20"/>
    </w:rPr>
  </w:style>
  <w:style w:type="character" w:customStyle="1" w:styleId="22">
    <w:name w:val="正文文本缩进 2 字符"/>
    <w:qFormat/>
    <w:locked/>
    <w:rsid w:val="000B1BFC"/>
    <w:rPr>
      <w:rFonts w:ascii="仿宋_GB2312" w:eastAsia="仿宋_GB2312" w:cs="Times New Roman"/>
      <w:sz w:val="28"/>
    </w:rPr>
  </w:style>
  <w:style w:type="paragraph" w:customStyle="1" w:styleId="aff0">
    <w:name w:val="文号"/>
    <w:basedOn w:val="a"/>
    <w:qFormat/>
    <w:rsid w:val="000B1BFC"/>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character" w:customStyle="1" w:styleId="aff1">
    <w:name w:val="纯文本 字符"/>
    <w:qFormat/>
    <w:locked/>
    <w:rsid w:val="000B1BFC"/>
    <w:rPr>
      <w:rFonts w:ascii="宋体" w:hAnsi="Courier New" w:cs="Times New Roman"/>
      <w:kern w:val="2"/>
      <w:sz w:val="21"/>
    </w:rPr>
  </w:style>
  <w:style w:type="character" w:customStyle="1" w:styleId="aff2">
    <w:name w:val="正文文本 字符"/>
    <w:qFormat/>
    <w:locked/>
    <w:rsid w:val="000B1BFC"/>
    <w:rPr>
      <w:rFonts w:eastAsia="仿宋_GB2312" w:cs="Times New Roman"/>
      <w:kern w:val="2"/>
      <w:sz w:val="28"/>
    </w:rPr>
  </w:style>
  <w:style w:type="character" w:customStyle="1" w:styleId="unnamed2">
    <w:name w:val="unnamed2"/>
    <w:qFormat/>
    <w:rsid w:val="000B1BFC"/>
    <w:rPr>
      <w:rFonts w:cs="Times New Roman"/>
    </w:rPr>
  </w:style>
  <w:style w:type="character" w:customStyle="1" w:styleId="high-light-bg4">
    <w:name w:val="high-light-bg4"/>
    <w:qFormat/>
    <w:rsid w:val="000B1BFC"/>
    <w:rPr>
      <w:rFonts w:cs="Times New Roman"/>
    </w:rPr>
  </w:style>
  <w:style w:type="paragraph" w:customStyle="1" w:styleId="ordinary-output">
    <w:name w:val="ordinary-output"/>
    <w:basedOn w:val="a"/>
    <w:qFormat/>
    <w:rsid w:val="000B1BFC"/>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qFormat/>
    <w:rsid w:val="000B1BFC"/>
    <w:rPr>
      <w:rFonts w:cs="Times New Roman"/>
    </w:rPr>
  </w:style>
  <w:style w:type="character" w:customStyle="1" w:styleId="Char11">
    <w:name w:val="批注文字 Char1"/>
    <w:link w:val="af3"/>
    <w:qFormat/>
    <w:locked/>
    <w:rsid w:val="000B1BFC"/>
    <w:rPr>
      <w:rFonts w:ascii="Calibri" w:hAnsi="Calibri"/>
      <w:kern w:val="2"/>
      <w:sz w:val="21"/>
      <w:szCs w:val="21"/>
    </w:rPr>
  </w:style>
  <w:style w:type="character" w:customStyle="1" w:styleId="Char12">
    <w:name w:val="批注主题 Char1"/>
    <w:link w:val="af4"/>
    <w:semiHidden/>
    <w:qFormat/>
    <w:locked/>
    <w:rsid w:val="000B1BFC"/>
    <w:rPr>
      <w:rFonts w:ascii="Calibri" w:hAnsi="Calibri"/>
      <w:b/>
      <w:bCs/>
      <w:kern w:val="2"/>
      <w:sz w:val="21"/>
      <w:szCs w:val="21"/>
    </w:rPr>
  </w:style>
  <w:style w:type="paragraph" w:customStyle="1" w:styleId="23">
    <w:name w:val="修订2"/>
    <w:hidden/>
    <w:uiPriority w:val="99"/>
    <w:semiHidden/>
    <w:qFormat/>
    <w:rsid w:val="000B1BF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359550-87D6-4CD5-8135-1295C09A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20</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2018-07-10T10:08:00Z</cp:lastPrinted>
  <dcterms:created xsi:type="dcterms:W3CDTF">2018-01-11T08:35:00Z</dcterms:created>
  <dcterms:modified xsi:type="dcterms:W3CDTF">2019-12-30T09:04:00Z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